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Отчет об исполнении бюджета за 2024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Нефтеюганского района на 2024 год утвержден решением Думы Нефтеюганского района от 29.11.202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3 № 964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«О бюджете Нефтеюганского района на 2024 год и плановый период 2025 и 2026 годов»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прогнозируемым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бъемом доходов в сумме 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,5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млрд.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рублей.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Исполнены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доход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 в сумме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млрд.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рублей 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% к уточненному годовому плану. 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20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структуре доходов большую часть составляют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безвозмездны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поступлени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долю налоговых доходов приходится 27%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неналоговы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15%.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3"/>
        <w:ind w:firstLine="708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Годовое плановое исполнение по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алоговы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доход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ам составило 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%, в сумме это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млрд.  рублей.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spacing w:line="360" w:lineRule="auto"/>
        <w:widowControl w:val="o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неналоговы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доход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ам отмечается снижение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сравнению с прошлым годом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%, или 68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млн. рублей.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Основной причиной является снижение, почти в два раза, поступлений платежей по искам о возмещении вреда, причиненного окружающей среде в бюджет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целом неналоговых доходо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оступило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млрд.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рублей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езвозмездные поступления составили 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млрд.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рублей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437 млн. рублей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 прошлому году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Объем дотации составил 401 млн.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Субсиди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поступило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млрд.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Субвенций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млрд.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межбюджетны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трансферт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млн. руб.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Объем поступлений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 бюджетов поселений по передаваемым полномочиям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составил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212 млн. рублей.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Объем поступлений благотворительности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соответствии с заключенными соглашениями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186,4 млн. рублей.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Общий объем расходов Нефтеюганского района составил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8,7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% от уточненного плана.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сравнении с 2023 годом фиксируется рост расходов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16%, в сумме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1,2 млрд.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рублей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Расходные обязательства за счет федерального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окружного бюджетов исполнены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сумме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рублей. За счет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4,4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Бюджет района исполнен с профицитом в сумме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159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млн. рублей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862"/>
        <w:ind w:left="0"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еализ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ованы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мероприятия национальных проектов по направлениям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образование,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жилье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городская среда,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малое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среднее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предпринимательство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исполнение составило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133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млн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Объем средств, направленный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семьи и детства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составил 2,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млрд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234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млн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лаготворительны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социально-экономическое развитие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троительство, реконструкция, капитальный ремонт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модернизация инженерных сетей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  <w:pBdr>
          <w:top w:val="single" w:color="FFFFFF" w:sz="4" w:space="0"/>
          <w:left w:val="single" w:color="FFFFFF" w:sz="4" w:space="0"/>
          <w:bottom w:val="single" w:color="FFFFFF" w:sz="4" w:space="28"/>
          <w:right w:val="single" w:color="FFFFFF" w:sz="4" w:space="3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Как и в предыдущие годы, бюджет района планир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овался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и исполня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ся по программно-целевому принципу. Доля расходов, формируемая в рамках программ, составила 99,7%.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существлялась реализация 21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(двадцати одной)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муниципальной программы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  <w:pBdr>
          <w:top w:val="single" w:color="FFFFFF" w:sz="4" w:space="0"/>
          <w:left w:val="single" w:color="FFFFFF" w:sz="4" w:space="0"/>
          <w:bottom w:val="single" w:color="FFFFFF" w:sz="4" w:space="28"/>
          <w:right w:val="single" w:color="FFFFFF" w:sz="4" w:space="3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По-прежнему,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основную долю в общих расходах занимают программы 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оциальн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сфер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39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%)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на их финансирование направлено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,3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 млрд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 рублей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. На отрасль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жилищно-коммунальной сферы пришлось 28% всех расходов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или 2,4 млрд. рублей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  <w:pBdr>
          <w:top w:val="single" w:color="FFFFFF" w:sz="4" w:space="0"/>
          <w:left w:val="single" w:color="FFFFFF" w:sz="4" w:space="0"/>
          <w:bottom w:val="single" w:color="FFFFFF" w:sz="4" w:space="28"/>
          <w:right w:val="single" w:color="FFFFFF" w:sz="4" w:space="3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целях обеспечения сбалансированности бюджетов и выравнивания финансовых возможностей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существенно возрастает роль межбюджетного регулирования по выравниванию уровня бюджетной обеспеченности муниципальных образований и оказанию финансовой помощи органам местного самоуправления поселений Нефтеюганского района.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  <w:pBdr>
          <w:top w:val="single" w:color="FFFFFF" w:sz="4" w:space="0"/>
          <w:left w:val="single" w:color="FFFFFF" w:sz="4" w:space="0"/>
          <w:bottom w:val="single" w:color="FFFFFF" w:sz="4" w:space="28"/>
          <w:right w:val="single" w:color="FFFFFF" w:sz="4" w:space="3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Общий объем финансовой помощи ме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стным бюджетам поселений в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году составил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млрд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рублей.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  <w:pBdr>
          <w:top w:val="single" w:color="FFFFFF" w:sz="4" w:space="0"/>
          <w:left w:val="single" w:color="FFFFFF" w:sz="4" w:space="0"/>
          <w:bottom w:val="single" w:color="FFFFFF" w:sz="4" w:space="28"/>
          <w:right w:val="single" w:color="FFFFFF" w:sz="4" w:space="3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ff"/>
        </w:rPr>
        <w:t xml:space="preserve">Для поддержания высокого уровня прозрачности бюджета и бюджетного процесса в течение всего 2024</w:t>
      </w: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ff"/>
        </w:rPr>
        <w:t xml:space="preserve">а проводилась работа по наполнению и поддержанию актуальност</w:t>
      </w: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ff"/>
        </w:rPr>
        <w:t xml:space="preserve">и портала «Бюджет для граждан».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</w:rPr>
        <w:pBdr>
          <w:top w:val="single" w:color="FFFFFF" w:sz="4" w:space="0"/>
          <w:left w:val="single" w:color="FFFFFF" w:sz="4" w:space="0"/>
          <w:bottom w:val="single" w:color="FFFFFF" w:sz="4" w:space="28"/>
          <w:right w:val="single" w:color="FFFFFF" w:sz="4" w:space="3"/>
        </w:pBd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Консолидированный отчет об исполнении бюджета Нефтеюганского района сформирован и представлен в Департамент финансов Ханты-Мансийского автономного округа в установленные сроки.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</w:rPr>
        <w:pBdr>
          <w:top w:val="single" w:color="FFFFFF" w:sz="4" w:space="0"/>
          <w:left w:val="single" w:color="FFFFFF" w:sz="4" w:space="0"/>
          <w:bottom w:val="single" w:color="FFFFFF" w:sz="4" w:space="28"/>
          <w:right w:val="single" w:color="FFFFFF" w:sz="4" w:space="3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Согласно Заключению по результатам внешней проверки годового отчета об исполнении бюджета муниципального образования Нефтеюганский район за 2024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год Контрольно-счет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ной палаты Нефтеюганского района от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15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.04.2025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годовой отчет достоверно отражает результаты исполнения бюджета за период с 1 января по 31 декабря 2024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года.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709" w:right="567" w:bottom="56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655857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15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Times New Roman" w:hAnsi="Times New Roman" w:eastAsia="Times New Roman" w:cs="Times New Roman"/>
        <w:b/>
        <w:bCs/>
        <w:i/>
        <w:iCs/>
        <w:sz w:val="32"/>
        <w:szCs w:val="32"/>
        <w:lang w:eastAsia="ru-RU"/>
      </w:rPr>
    </w:pPr>
    <w:r>
      <w:rPr>
        <w:rFonts w:ascii="Times New Roman" w:hAnsi="Times New Roman" w:eastAsia="Times New Roman" w:cs="Times New Roman"/>
        <w:b/>
        <w:bCs/>
        <w:i/>
        <w:iCs/>
        <w:sz w:val="32"/>
        <w:szCs w:val="32"/>
        <w:lang w:eastAsia="ru-RU"/>
      </w:rPr>
    </w:r>
    <w:r>
      <w:rPr>
        <w:rFonts w:ascii="Times New Roman" w:hAnsi="Times New Roman" w:eastAsia="Times New Roman" w:cs="Times New Roman"/>
        <w:b/>
        <w:bCs/>
        <w:i/>
        <w:iCs/>
        <w:sz w:val="32"/>
        <w:szCs w:val="32"/>
        <w:lang w:eastAsia="ru-RU"/>
      </w:rPr>
    </w:r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770" w:hanging="360"/>
        <w:tabs>
          <w:tab w:val="num" w:pos="177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70" w:hanging="360"/>
        <w:tabs>
          <w:tab w:val="num" w:pos="87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  <w:tabs>
          <w:tab w:val="num" w:pos="159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  <w:tabs>
          <w:tab w:val="num" w:pos="231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  <w:tabs>
          <w:tab w:val="num" w:pos="303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  <w:tabs>
          <w:tab w:val="num" w:pos="375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  <w:tabs>
          <w:tab w:val="num" w:pos="447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  <w:tabs>
          <w:tab w:val="num" w:pos="519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  <w:tabs>
          <w:tab w:val="num" w:pos="591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  <w:tabs>
          <w:tab w:val="num" w:pos="663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173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770" w:hanging="360"/>
        <w:tabs>
          <w:tab w:val="num" w:pos="177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  <w:tabs>
          <w:tab w:val="num" w:pos="142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  <w:tabs>
          <w:tab w:val="num" w:pos="214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  <w:tabs>
          <w:tab w:val="num" w:pos="286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  <w:tabs>
          <w:tab w:val="num" w:pos="358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  <w:tabs>
          <w:tab w:val="num" w:pos="430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  <w:tabs>
          <w:tab w:val="num" w:pos="502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  <w:tabs>
          <w:tab w:val="num" w:pos="574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  <w:tabs>
          <w:tab w:val="num" w:pos="646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  <w:tabs>
          <w:tab w:val="num" w:pos="7185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  <w:tabs>
          <w:tab w:val="num" w:pos="177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20"/>
        <w:tabs>
          <w:tab w:val="num" w:pos="172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  <w:tabs>
          <w:tab w:val="num" w:pos="142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  <w:tabs>
          <w:tab w:val="num" w:pos="214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  <w:tabs>
          <w:tab w:val="num" w:pos="286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  <w:tabs>
          <w:tab w:val="num" w:pos="358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  <w:tabs>
          <w:tab w:val="num" w:pos="430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  <w:tabs>
          <w:tab w:val="num" w:pos="502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  <w:tabs>
          <w:tab w:val="num" w:pos="574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  <w:tabs>
          <w:tab w:val="num" w:pos="646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  <w:tabs>
          <w:tab w:val="num" w:pos="7185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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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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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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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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  <w:tabs>
          <w:tab w:val="num" w:pos="142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  <w:tabs>
          <w:tab w:val="num" w:pos="214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  <w:tabs>
          <w:tab w:val="num" w:pos="286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  <w:tabs>
          <w:tab w:val="num" w:pos="358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  <w:tabs>
          <w:tab w:val="num" w:pos="430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  <w:tabs>
          <w:tab w:val="num" w:pos="502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  <w:tabs>
          <w:tab w:val="num" w:pos="574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  <w:tabs>
          <w:tab w:val="num" w:pos="646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  <w:tabs>
          <w:tab w:val="num" w:pos="7185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0" w:hanging="75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1"/>
      <w:numFmt w:val="decimal"/>
      <w:isLgl w:val="false"/>
      <w:suff w:val="tab"/>
      <w:lvlText w:val="%2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1185"/>
        <w:tabs>
          <w:tab w:val="num" w:pos="19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770" w:hanging="360"/>
        <w:tabs>
          <w:tab w:val="num" w:pos="177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770" w:hanging="360"/>
        <w:tabs>
          <w:tab w:val="num" w:pos="177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20" w:hanging="360"/>
        <w:tabs>
          <w:tab w:val="num" w:pos="16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59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5" w:hanging="360"/>
        <w:tabs>
          <w:tab w:val="num" w:pos="250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5" w:hanging="360"/>
        <w:tabs>
          <w:tab w:val="num" w:pos="322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5" w:hanging="360"/>
        <w:tabs>
          <w:tab w:val="num" w:pos="394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5" w:hanging="360"/>
        <w:tabs>
          <w:tab w:val="num" w:pos="466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5" w:hanging="360"/>
        <w:tabs>
          <w:tab w:val="num" w:pos="538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5" w:hanging="360"/>
        <w:tabs>
          <w:tab w:val="num" w:pos="610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5" w:hanging="360"/>
        <w:tabs>
          <w:tab w:val="num" w:pos="682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5" w:hanging="360"/>
        <w:tabs>
          <w:tab w:val="num" w:pos="7545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30" w:hanging="360"/>
        <w:tabs>
          <w:tab w:val="num" w:pos="3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50" w:hanging="360"/>
        <w:tabs>
          <w:tab w:val="num" w:pos="75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70" w:hanging="360"/>
        <w:tabs>
          <w:tab w:val="num" w:pos="147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90" w:hanging="360"/>
        <w:tabs>
          <w:tab w:val="num" w:pos="219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910" w:hanging="360"/>
        <w:tabs>
          <w:tab w:val="num" w:pos="291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30" w:hanging="360"/>
        <w:tabs>
          <w:tab w:val="num" w:pos="363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50" w:hanging="360"/>
        <w:tabs>
          <w:tab w:val="num" w:pos="435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70" w:hanging="360"/>
        <w:tabs>
          <w:tab w:val="num" w:pos="5070" w:leader="none"/>
        </w:tabs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5" w:hanging="360"/>
        <w:tabs>
          <w:tab w:val="num" w:pos="121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5" w:hanging="360"/>
        <w:tabs>
          <w:tab w:val="num" w:pos="193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5" w:hanging="360"/>
        <w:tabs>
          <w:tab w:val="num" w:pos="265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5" w:hanging="360"/>
        <w:tabs>
          <w:tab w:val="num" w:pos="337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5" w:hanging="360"/>
        <w:tabs>
          <w:tab w:val="num" w:pos="409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5" w:hanging="360"/>
        <w:tabs>
          <w:tab w:val="num" w:pos="481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5" w:hanging="360"/>
        <w:tabs>
          <w:tab w:val="num" w:pos="553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5" w:hanging="360"/>
        <w:tabs>
          <w:tab w:val="num" w:pos="625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5" w:hanging="360"/>
        <w:tabs>
          <w:tab w:val="num" w:pos="6975" w:leader="none"/>
        </w:tabs>
      </w:pPr>
      <w:rPr>
        <w:rFonts w:hint="default" w:ascii="Wingdings" w:hAnsi="Wingdings"/>
      </w:rPr>
    </w:lvl>
  </w:abstractNum>
  <w:num w:numId="1">
    <w:abstractNumId w:val="27"/>
  </w:num>
  <w:num w:numId="2">
    <w:abstractNumId w:val="46"/>
  </w:num>
  <w:num w:numId="3">
    <w:abstractNumId w:val="24"/>
  </w:num>
  <w:num w:numId="4">
    <w:abstractNumId w:val="39"/>
  </w:num>
  <w:num w:numId="5">
    <w:abstractNumId w:val="40"/>
  </w:num>
  <w:num w:numId="6">
    <w:abstractNumId w:val="21"/>
  </w:num>
  <w:num w:numId="7">
    <w:abstractNumId w:val="2"/>
  </w:num>
  <w:num w:numId="8">
    <w:abstractNumId w:val="42"/>
  </w:num>
  <w:num w:numId="9">
    <w:abstractNumId w:val="34"/>
  </w:num>
  <w:num w:numId="10">
    <w:abstractNumId w:val="45"/>
  </w:num>
  <w:num w:numId="11">
    <w:abstractNumId w:val="32"/>
  </w:num>
  <w:num w:numId="12">
    <w:abstractNumId w:val="8"/>
  </w:num>
  <w:num w:numId="13">
    <w:abstractNumId w:val="28"/>
  </w:num>
  <w:num w:numId="14">
    <w:abstractNumId w:val="30"/>
  </w:num>
  <w:num w:numId="15">
    <w:abstractNumId w:val="10"/>
  </w:num>
  <w:num w:numId="16">
    <w:abstractNumId w:val="16"/>
  </w:num>
  <w:num w:numId="17">
    <w:abstractNumId w:val="23"/>
  </w:num>
  <w:num w:numId="18">
    <w:abstractNumId w:val="11"/>
  </w:num>
  <w:num w:numId="19">
    <w:abstractNumId w:val="41"/>
  </w:num>
  <w:num w:numId="20">
    <w:abstractNumId w:val="13"/>
  </w:num>
  <w:num w:numId="21">
    <w:abstractNumId w:val="18"/>
  </w:num>
  <w:num w:numId="22">
    <w:abstractNumId w:val="17"/>
  </w:num>
  <w:num w:numId="23">
    <w:abstractNumId w:val="36"/>
  </w:num>
  <w:num w:numId="24">
    <w:abstractNumId w:val="33"/>
  </w:num>
  <w:num w:numId="25">
    <w:abstractNumId w:val="7"/>
  </w:num>
  <w:num w:numId="26">
    <w:abstractNumId w:val="35"/>
  </w:num>
  <w:num w:numId="27">
    <w:abstractNumId w:val="14"/>
  </w:num>
  <w:num w:numId="28">
    <w:abstractNumId w:val="12"/>
  </w:num>
  <w:num w:numId="29">
    <w:abstractNumId w:val="22"/>
  </w:num>
  <w:num w:numId="30">
    <w:abstractNumId w:val="25"/>
  </w:num>
  <w:num w:numId="31">
    <w:abstractNumId w:val="0"/>
  </w:num>
  <w:num w:numId="32">
    <w:abstractNumId w:val="5"/>
  </w:num>
  <w:num w:numId="33">
    <w:abstractNumId w:val="9"/>
  </w:num>
  <w:num w:numId="34">
    <w:abstractNumId w:val="43"/>
  </w:num>
  <w:num w:numId="35">
    <w:abstractNumId w:val="31"/>
  </w:num>
  <w:num w:numId="36">
    <w:abstractNumId w:val="20"/>
  </w:num>
  <w:num w:numId="37">
    <w:abstractNumId w:val="47"/>
  </w:num>
  <w:num w:numId="38">
    <w:abstractNumId w:val="1"/>
  </w:num>
  <w:num w:numId="39">
    <w:abstractNumId w:val="29"/>
  </w:num>
  <w:num w:numId="40">
    <w:abstractNumId w:val="37"/>
  </w:num>
  <w:num w:numId="41">
    <w:abstractNumId w:val="3"/>
  </w:num>
  <w:num w:numId="42">
    <w:abstractNumId w:val="19"/>
  </w:num>
  <w:num w:numId="43">
    <w:abstractNumId w:val="26"/>
  </w:num>
  <w:num w:numId="44">
    <w:abstractNumId w:val="38"/>
  </w:num>
  <w:num w:numId="45">
    <w:abstractNumId w:val="44"/>
  </w:num>
  <w:num w:numId="46">
    <w:abstractNumId w:val="6"/>
  </w:num>
  <w:num w:numId="47">
    <w:abstractNumId w:val="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59"/>
    <w:link w:val="85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56"/>
    <w:next w:val="8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5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56"/>
    <w:next w:val="8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56"/>
    <w:next w:val="8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56"/>
    <w:next w:val="8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59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56"/>
    <w:next w:val="8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56"/>
    <w:next w:val="8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56"/>
    <w:next w:val="8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56"/>
    <w:next w:val="8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59"/>
    <w:link w:val="34"/>
    <w:uiPriority w:val="10"/>
    <w:rPr>
      <w:sz w:val="48"/>
      <w:szCs w:val="48"/>
    </w:rPr>
  </w:style>
  <w:style w:type="paragraph" w:styleId="36">
    <w:name w:val="Subtitle"/>
    <w:basedOn w:val="856"/>
    <w:next w:val="8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59"/>
    <w:link w:val="36"/>
    <w:uiPriority w:val="11"/>
    <w:rPr>
      <w:sz w:val="24"/>
      <w:szCs w:val="24"/>
    </w:rPr>
  </w:style>
  <w:style w:type="paragraph" w:styleId="38">
    <w:name w:val="Quote"/>
    <w:basedOn w:val="856"/>
    <w:next w:val="8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56"/>
    <w:next w:val="8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59"/>
    <w:link w:val="866"/>
    <w:uiPriority w:val="99"/>
  </w:style>
  <w:style w:type="character" w:styleId="45">
    <w:name w:val="Footer Char"/>
    <w:basedOn w:val="859"/>
    <w:link w:val="868"/>
    <w:uiPriority w:val="99"/>
  </w:style>
  <w:style w:type="paragraph" w:styleId="46">
    <w:name w:val="Caption"/>
    <w:basedOn w:val="856"/>
    <w:next w:val="85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85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59"/>
    <w:uiPriority w:val="99"/>
    <w:unhideWhenUsed/>
    <w:rPr>
      <w:vertAlign w:val="superscript"/>
    </w:rPr>
  </w:style>
  <w:style w:type="paragraph" w:styleId="178">
    <w:name w:val="endnote text"/>
    <w:basedOn w:val="8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59"/>
    <w:uiPriority w:val="99"/>
    <w:semiHidden/>
    <w:unhideWhenUsed/>
    <w:rPr>
      <w:vertAlign w:val="superscript"/>
    </w:rPr>
  </w:style>
  <w:style w:type="paragraph" w:styleId="181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1"/>
    <w:basedOn w:val="856"/>
    <w:next w:val="856"/>
    <w:link w:val="877"/>
    <w:qFormat/>
    <w:pPr>
      <w:jc w:val="center"/>
      <w:spacing w:before="108" w:after="108"/>
      <w:outlineLvl w:val="0"/>
    </w:pPr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paragraph" w:styleId="858">
    <w:name w:val="Heading 6"/>
    <w:basedOn w:val="856"/>
    <w:next w:val="856"/>
    <w:link w:val="870"/>
    <w:semiHidden/>
    <w:unhideWhenUsed/>
    <w:qFormat/>
    <w:pPr>
      <w:ind w:right="5385"/>
      <w:jc w:val="center"/>
      <w:keepNext/>
      <w:tabs>
        <w:tab w:val="left" w:pos="4253" w:leader="none"/>
      </w:tabs>
      <w:outlineLvl w:val="5"/>
    </w:pPr>
    <w:rPr>
      <w:rFonts w:ascii="Arial" w:hAnsi="Arial" w:eastAsia="Times New Roman" w:cs="Times New Roman"/>
      <w:b/>
      <w:sz w:val="16"/>
      <w:szCs w:val="20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List Paragraph"/>
    <w:basedOn w:val="856"/>
    <w:link w:val="876"/>
    <w:uiPriority w:val="34"/>
    <w:qFormat/>
    <w:pPr>
      <w:contextualSpacing/>
      <w:ind w:left="720"/>
    </w:pPr>
  </w:style>
  <w:style w:type="paragraph" w:styleId="863">
    <w:name w:val="Balloon Text"/>
    <w:basedOn w:val="856"/>
    <w:link w:val="864"/>
    <w:semiHidden/>
    <w:unhideWhenUsed/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basedOn w:val="859"/>
    <w:link w:val="863"/>
    <w:uiPriority w:val="99"/>
    <w:semiHidden/>
    <w:rPr>
      <w:rFonts w:ascii="Tahoma" w:hAnsi="Tahoma" w:cs="Tahoma"/>
      <w:sz w:val="16"/>
      <w:szCs w:val="16"/>
    </w:rPr>
  </w:style>
  <w:style w:type="paragraph" w:styleId="865" w:customStyle="1">
    <w:name w:val="Default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66">
    <w:name w:val="Header"/>
    <w:basedOn w:val="856"/>
    <w:link w:val="867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9"/>
    <w:link w:val="866"/>
  </w:style>
  <w:style w:type="paragraph" w:styleId="868">
    <w:name w:val="Footer"/>
    <w:basedOn w:val="856"/>
    <w:link w:val="86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9"/>
    <w:link w:val="868"/>
    <w:uiPriority w:val="99"/>
  </w:style>
  <w:style w:type="character" w:styleId="870" w:customStyle="1">
    <w:name w:val="Заголовок 6 Знак"/>
    <w:basedOn w:val="859"/>
    <w:link w:val="858"/>
    <w:semiHidden/>
    <w:rPr>
      <w:rFonts w:ascii="Arial" w:hAnsi="Arial" w:eastAsia="Times New Roman" w:cs="Times New Roman"/>
      <w:b/>
      <w:sz w:val="16"/>
      <w:szCs w:val="20"/>
      <w:lang w:eastAsia="ru-RU"/>
    </w:rPr>
  </w:style>
  <w:style w:type="paragraph" w:styleId="871">
    <w:name w:val="Normal (Web)"/>
    <w:basedOn w:val="856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72">
    <w:name w:val="No Spacing"/>
    <w:link w:val="873"/>
    <w:qFormat/>
    <w:rPr>
      <w:rFonts w:ascii="Calibri" w:hAnsi="Calibri" w:eastAsia="Times New Roman" w:cs="Calibri"/>
      <w:lang w:eastAsia="ru-RU"/>
    </w:rPr>
  </w:style>
  <w:style w:type="character" w:styleId="873" w:customStyle="1">
    <w:name w:val="Без интервала Знак"/>
    <w:link w:val="872"/>
    <w:rPr>
      <w:rFonts w:ascii="Calibri" w:hAnsi="Calibri" w:eastAsia="Times New Roman" w:cs="Calibri"/>
      <w:lang w:eastAsia="ru-RU"/>
    </w:rPr>
  </w:style>
  <w:style w:type="paragraph" w:styleId="874" w:customStyle="1">
    <w:name w:val="Знак Знак Знак Знак"/>
    <w:basedOn w:val="85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75">
    <w:name w:val="Hyperlink"/>
    <w:basedOn w:val="859"/>
    <w:uiPriority w:val="99"/>
    <w:unhideWhenUsed/>
    <w:rPr>
      <w:color w:val="0000ff" w:themeColor="hyperlink"/>
      <w:u w:val="single"/>
    </w:rPr>
  </w:style>
  <w:style w:type="character" w:styleId="876" w:customStyle="1">
    <w:name w:val="Абзац списка Знак"/>
    <w:link w:val="862"/>
    <w:uiPriority w:val="34"/>
  </w:style>
  <w:style w:type="character" w:styleId="877" w:customStyle="1">
    <w:name w:val="Заголовок 1 Знак"/>
    <w:basedOn w:val="859"/>
    <w:link w:val="857"/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table" w:styleId="878">
    <w:name w:val="Table Grid"/>
    <w:basedOn w:val="86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9">
    <w:name w:val="page number"/>
    <w:basedOn w:val="859"/>
  </w:style>
  <w:style w:type="paragraph" w:styleId="880">
    <w:name w:val="Body Text Indent"/>
    <w:basedOn w:val="856"/>
    <w:link w:val="881"/>
    <w:pPr>
      <w:ind w:firstLine="9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1" w:customStyle="1">
    <w:name w:val="Основной текст с отступом Знак"/>
    <w:basedOn w:val="859"/>
    <w:link w:val="88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>
    <w:name w:val="Body Text Indent 2"/>
    <w:basedOn w:val="856"/>
    <w:link w:val="883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 w:customStyle="1">
    <w:name w:val="Основной текст с отступом 2 Знак"/>
    <w:basedOn w:val="859"/>
    <w:link w:val="88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>
    <w:name w:val="Body Text 3"/>
    <w:basedOn w:val="856"/>
    <w:link w:val="885"/>
    <w:pPr>
      <w:spacing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885" w:customStyle="1">
    <w:name w:val="Основной текст 3 Знак"/>
    <w:basedOn w:val="859"/>
    <w:link w:val="884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86" w:customStyle="1">
    <w:name w:val="ConsPlusNonformat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7" w:customStyle="1">
    <w:name w:val="ConsPlusNormal"/>
    <w:pPr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888">
    <w:name w:val="Strong"/>
    <w:uiPriority w:val="22"/>
    <w:qFormat/>
    <w:rPr>
      <w:b/>
      <w:bCs/>
    </w:rPr>
  </w:style>
  <w:style w:type="paragraph" w:styleId="889" w:customStyle="1">
    <w:name w:val="StGen0"/>
    <w:basedOn w:val="856"/>
    <w:next w:val="87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 w:customStyle="1">
    <w:name w:val="style211"/>
    <w:rPr>
      <w:color w:val="4c4c4c"/>
    </w:rPr>
  </w:style>
  <w:style w:type="paragraph" w:styleId="891" w:customStyle="1">
    <w:name w:val="Table Paragraph"/>
    <w:basedOn w:val="856"/>
    <w:uiPriority w:val="1"/>
    <w:qFormat/>
    <w:pPr>
      <w:widowControl w:val="off"/>
    </w:pPr>
    <w:rPr>
      <w:rFonts w:ascii="Times New Roman" w:hAnsi="Times New Roman" w:eastAsia="Times New Roman" w:cs="Times New Roman"/>
    </w:rPr>
  </w:style>
  <w:style w:type="paragraph" w:styleId="892" w:customStyle="1">
    <w:name w:val="Знак Знак Знак Знак Знак Знак Знак Знак Знак Знак Знак Знак Знак"/>
    <w:basedOn w:val="85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93" w:customStyle="1">
    <w:name w:val="docdata"/>
    <w:basedOn w:val="8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>
    <w:name w:val="Body Text"/>
    <w:basedOn w:val="856"/>
    <w:link w:val="895"/>
    <w:uiPriority w:val="99"/>
    <w:semiHidden/>
    <w:unhideWhenUsed/>
    <w:pPr>
      <w:spacing w:after="120"/>
    </w:pPr>
  </w:style>
  <w:style w:type="character" w:styleId="895" w:customStyle="1">
    <w:name w:val="Основной текст Знак"/>
    <w:basedOn w:val="859"/>
    <w:link w:val="894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5D94-10FC-415C-BC18-02C1A930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Ольга Константиновна</dc:creator>
  <cp:keywords/>
  <dc:description/>
  <cp:lastModifiedBy>HadievaOS</cp:lastModifiedBy>
  <cp:revision>4</cp:revision>
  <dcterms:created xsi:type="dcterms:W3CDTF">2025-05-14T07:53:00Z</dcterms:created>
  <dcterms:modified xsi:type="dcterms:W3CDTF">2025-08-06T10:39:29Z</dcterms:modified>
</cp:coreProperties>
</file>