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предварительных параметрах бюджета Нефтеюганского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очередной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 и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Прогноз доходов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бюджета на 2026 - 2028 годы подготовлен в соответствии с требованиями Бюджетного кодекса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с учетом положений Порядка и сроков составления проекта бюджета на очередной финансовый год и плановый период, утвержденного постановлением администрации Нефтеюганского района от 28.05.2021 №877-па.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сновны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параметр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прогнозируемых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налоговых и неналоговых доходов бюджета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очередной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2026 год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плановый период 2027-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2028 год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сформированы на основе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показател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базового варианта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прогноза социально-экономического развития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также данных главных администраторов доходов бюджета.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Учтены изменения в законодательстве, особенности порядка исчисления и уплаты отдельных платежей.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Положительная динамика поступлений способств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формированию доходов в большем объёме, чем было предусмотрено при утверждении бюджета на 2025 год и плановый период 2026 и 2027 годов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охо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на 2026 год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спрогнозированы в сумме 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млрд.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458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млн.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897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тыс. рублей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 Рост к 2025 год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(на 01.07.2025)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составит 103,7 % в сумме 299 396,40545 тыс. рублей.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плановый период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2027 и 2028 годов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 сумме 7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млрд.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943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млн.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698 тыс. руб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лей, и в сумме 7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млрд.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181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млн.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998 тыс. рублей, в том числе: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</w:r>
    </w:p>
    <w:p>
      <w:pPr>
        <w:pStyle w:val="850"/>
        <w:numPr>
          <w:ilvl w:val="0"/>
          <w:numId w:val="4"/>
        </w:numPr>
        <w:ind w:left="0" w:right="0" w:firstLine="709"/>
        <w:jc w:val="both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безвозмездные поступления из бюджета автономного округа составят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</w:r>
    </w:p>
    <w:p>
      <w:pPr>
        <w:ind w:left="0" w:right="0" w:firstLine="0"/>
        <w:jc w:val="both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на 2026 год 4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млрд.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770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млн.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061,4 тыс. рублей;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</w:r>
    </w:p>
    <w:p>
      <w:pPr>
        <w:ind w:left="0" w:right="0" w:firstLine="0"/>
        <w:jc w:val="both"/>
        <w:spacing w:after="0"/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на 2027 год 4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млрд.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  <w:lang w:eastAsia="ru-RU"/>
        </w:rPr>
        <w:t xml:space="preserve">320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млн.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060,7 тыс. рублей;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r>
    </w:p>
    <w:p>
      <w:pPr>
        <w:ind w:left="0" w:right="0" w:firstLine="0"/>
        <w:jc w:val="both"/>
        <w:spacing w:after="0"/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на 2028 год 3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млрд.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435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 млн.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 599,1 тыс. рублей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r>
    </w:p>
    <w:p>
      <w:pPr>
        <w:pStyle w:val="850"/>
        <w:numPr>
          <w:ilvl w:val="0"/>
          <w:numId w:val="5"/>
        </w:numPr>
        <w:ind w:left="1134" w:right="0" w:hanging="425"/>
        <w:jc w:val="both"/>
        <w:spacing w:after="0"/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налоговые и неналоговые доходы бюджета: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r>
    </w:p>
    <w:p>
      <w:pPr>
        <w:ind w:left="0" w:right="0" w:firstLine="0"/>
        <w:jc w:val="both"/>
        <w:spacing w:after="0"/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на 2026 год прогнозируются в сумме 3 429 870,3 тыс. рублей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r>
    </w:p>
    <w:p>
      <w:pPr>
        <w:ind w:left="0" w:right="0" w:firstLine="0"/>
        <w:jc w:val="both"/>
        <w:spacing w:after="0"/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а 2027 год в сумме 3 594 093,2 тыс. рублей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, рост 4,8%;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r>
    </w:p>
    <w:p>
      <w:pPr>
        <w:ind w:left="0" w:right="0" w:firstLine="0"/>
        <w:jc w:val="both"/>
        <w:spacing w:after="0"/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на 2028 год в сумме 3 741 133,1 тыс. рублей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, рост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 на 4,1 %.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Основными источниками доходов на ближайшие три года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– это: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  <w:lang w:eastAsia="ru-RU"/>
        </w:rPr>
        <w:t xml:space="preserve"> налог на доходы физических лиц, 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алог от применения упрощенной системы налогообложения, доходы от использования имущества муниципальной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собственности. Их доля составляет свыше 88 % в общей сумме налоговых и неналоговых доходов.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Прогноз доходов бюджета на 2026-2028 годы имеет предварительный характер, возможны уточнения доходов за счет безвозмездных поступлений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 вышестоящего бюджета и бюджетов поселений Нефтеюганского района.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98"/>
        <w:jc w:val="both"/>
        <w:spacing w:after="0" w:afterAutospacing="0" w:line="276" w:lineRule="auto"/>
        <w:tabs>
          <w:tab w:val="left" w:pos="100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Общий объем расходов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предусмотрен с учётом доведённых объёмов из вышестоящих бюджетов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, средств поселений на обеспечение исполнения полномочий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и составит на 2026 год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8 млрд. 459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млн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руб., на 2027 год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7 млрд. 944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млн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руб., на 2028 год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7 млрд. 182 млн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руб. Рост на 2026 год к первоначально утверждённому на 2025 год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434,0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млн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руб., или 5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%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ind w:firstLine="598"/>
        <w:jc w:val="both"/>
        <w:spacing w:after="0" w:afterAutospacing="0" w:line="276" w:lineRule="auto"/>
        <w:tabs>
          <w:tab w:val="left" w:pos="1000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З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а счёт средств бюджета Нефтеюганского района в расходах предусмотрены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средства: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val="ru-RU"/>
        </w:rPr>
      </w:r>
      <w:r>
        <w:rPr>
          <w:b w:val="0"/>
          <w:bCs w:val="0"/>
        </w:rPr>
      </w:r>
    </w:p>
    <w:p>
      <w:pPr>
        <w:ind w:firstLine="598"/>
        <w:jc w:val="both"/>
        <w:spacing w:after="0" w:afterAutospacing="0" w:line="276" w:lineRule="auto"/>
        <w:tabs>
          <w:tab w:val="left" w:pos="1000" w:leader="none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на предоставление субсидий 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выполнение муниципальных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заданий бюджетным и автономным учреждениям в объёме на 2026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839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 на 2027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год 961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,6 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 на 2028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961,9 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</w:p>
    <w:p>
      <w:pPr>
        <w:ind w:firstLine="598"/>
        <w:jc w:val="both"/>
        <w:spacing w:after="0" w:afterAutospacing="0" w:line="276" w:lineRule="auto"/>
        <w:tabs>
          <w:tab w:val="left" w:pos="1000" w:leader="none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на предоставление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субсидий на иные цели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в объёме на 2026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74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 на 2027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57 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 на 2028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57 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</w:p>
    <w:p>
      <w:pPr>
        <w:ind w:firstLine="598"/>
        <w:jc w:val="both"/>
        <w:spacing w:after="0" w:afterAutospacing="0" w:line="276" w:lineRule="auto"/>
        <w:tabs>
          <w:tab w:val="left" w:pos="1000" w:leader="none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на обеспечение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софинансирования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к окружным и федеральным в объёме на 2026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329 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 на 2027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285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 на 2028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179,9 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 Объём средств, в целях обеспечения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софинансирования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рассчитан исходя из нормативно-правовых актов ХМАО - Югры, с увеличением по некоторым субсидиям в связи с изменением уровня расчётной бюджетной обеспеченности, который является основополагающим при определении процента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софинансирования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</w:p>
    <w:p>
      <w:pPr>
        <w:ind w:firstLine="598"/>
        <w:jc w:val="both"/>
        <w:spacing w:after="0" w:afterAutospacing="0" w:line="276" w:lineRule="auto"/>
        <w:tabs>
          <w:tab w:val="left" w:pos="1000" w:leader="none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на выполнение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публичных обязательств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в объём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ах 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2026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2028 годы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33 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на каждый год.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</w:p>
    <w:p>
      <w:pPr>
        <w:ind w:firstLine="598"/>
        <w:jc w:val="both"/>
        <w:spacing w:after="0" w:afterAutospacing="0" w:line="276" w:lineRule="auto"/>
        <w:tabs>
          <w:tab w:val="left" w:pos="1000" w:leader="none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на предоставление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субсидий некоммерческим организациям, юридическим лицам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в объёме на 2026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-2028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год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на каждый год.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</w:p>
    <w:p>
      <w:pPr>
        <w:ind w:firstLine="708"/>
        <w:spacing w:after="0" w:afterAutospacing="0" w:line="276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капитальные вложения,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т.ч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 решения судов в объёме на 2026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200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,4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.руб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., на 2027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тыс.руб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., на 2028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43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</w:p>
    <w:p>
      <w:pPr>
        <w:ind w:firstLine="708"/>
        <w:spacing w:after="0" w:afterAutospacing="0" w:line="276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на проведение мероприятий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подготовке к зиме (ОЗП)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в объёме на 2026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63,9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 на 2027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168 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 на 2028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146,9 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</w:p>
    <w:p>
      <w:pPr>
        <w:ind w:firstLine="708"/>
        <w:spacing w:after="0" w:afterAutospacing="0" w:line="276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на подготовку 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роектно-изыскательских 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абот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в объёме на 2026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28,6 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на 2027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 на 2028 год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тыс.руб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</w:p>
    <w:p>
      <w:pPr>
        <w:ind w:firstLine="708"/>
        <w:spacing w:after="0" w:afterAutospacing="0" w:line="276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целевые средства (дорожный фонд, экология)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2026 год составят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в объёме 308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,6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 на 2027 год - 314,1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руб., на 2028 год -314,9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млн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</w:p>
    <w:p>
      <w:pPr>
        <w:ind w:firstLine="708"/>
        <w:spacing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val="ru-RU"/>
        </w:rPr>
      </w:r>
    </w:p>
    <w:p>
      <w:pPr>
        <w:ind w:firstLine="708"/>
        <w:spacing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За счёт средств из вышестоящих бюджетов предусматриваются: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- субсидии в объёме на 2026 год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2 млрд. 42 млн.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руб., на 2027 год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1 млрд. 758 млн.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руб., на 2028 год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978,9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млн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руб. 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  <w:t xml:space="preserve">(на реализа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  <w:t xml:space="preserve">цию полномочий в области градостроительной деятельности, субсидии в области жилищных отношений, в том числе на реализацию региональных проектов, на развитие культуры и спорта, в сфере ЖКК, Формирование комфортной городской среды, обеспечение безопасности).</w:t>
      </w:r>
      <w:r>
        <w:rPr>
          <w:rFonts w:ascii="Times New Roman" w:hAnsi="Times New Roman" w:eastAsia="Times New Roman" w:cs="Times New Roman"/>
          <w:bCs/>
          <w:color w:val="ff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Cs/>
          <w:color w:val="ff0000"/>
          <w:sz w:val="28"/>
          <w:szCs w:val="28"/>
          <w:lang w:val="ru-RU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- субвенции в объёме на 2026 год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2 млрд. 443 млн.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руб., на 2027 год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2 млрд. 460 млн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руб., на 2028 год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2 млрд. 434 млн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руб. 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  <w:t xml:space="preserve">(Исполнение переданных государственных полномочий на основании законов ХМАО – Югры без изменения перечня).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- иные межбюджетные трансферты в объёме на 2026 год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87,7 млн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руб., на 2027 год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86,8 млн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руб., на 2028 год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млн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руб. 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  <w:t xml:space="preserve">(Ежемесячное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  <w:t xml:space="preserve">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 советникам директоров по воспитанию; на реализацию мероприятий по содействию трудоустройству граждан).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- дотация на обеспечение выполнения Указов Президента, а также доведения МРОТ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в объёме на 2026 год 179,7 млн. руб., на 2027 – 2028 годы средства не доведены.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</w:r>
    </w:p>
    <w:p>
      <w:pPr>
        <w:ind w:left="7" w:right="0" w:firstLine="702"/>
        <w:jc w:val="both"/>
        <w:spacing w:after="0" w:afterAutospacing="0" w:line="276" w:lineRule="auto"/>
        <w:tabs>
          <w:tab w:val="left" w:pos="1000" w:leader="none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  <w:t xml:space="preserve">Общий объем средств по передаваемым полномочиям от поселений района составит: на 2026 год 259 млн. руб., на 2027 год 29,5 млн. руб., на 2028 год 5,3 млн. руб.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/>
        </w:rPr>
      </w:r>
    </w:p>
    <w:p>
      <w:pPr>
        <w:ind w:firstLine="644"/>
        <w:jc w:val="both"/>
        <w:spacing w:line="276" w:lineRule="auto"/>
        <w:tabs>
          <w:tab w:val="left" w:pos="100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</w:r>
    </w:p>
    <w:p>
      <w:pPr>
        <w:ind w:firstLine="644"/>
        <w:jc w:val="both"/>
        <w:spacing w:line="276" w:lineRule="auto"/>
        <w:tabs>
          <w:tab w:val="left" w:pos="100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87" w:hanging="1236"/>
        <w:tabs>
          <w:tab w:val="num" w:pos="2087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447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4043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527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68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81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97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09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2539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71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34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6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0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31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9"/>
    <w:next w:val="839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0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9"/>
    <w:next w:val="839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0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0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0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0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0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0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9"/>
    <w:next w:val="839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0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39"/>
    <w:next w:val="839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40"/>
    <w:link w:val="683"/>
    <w:uiPriority w:val="10"/>
    <w:rPr>
      <w:sz w:val="48"/>
      <w:szCs w:val="48"/>
    </w:rPr>
  </w:style>
  <w:style w:type="paragraph" w:styleId="685">
    <w:name w:val="Subtitle"/>
    <w:basedOn w:val="839"/>
    <w:next w:val="839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40"/>
    <w:link w:val="685"/>
    <w:uiPriority w:val="11"/>
    <w:rPr>
      <w:sz w:val="24"/>
      <w:szCs w:val="24"/>
    </w:rPr>
  </w:style>
  <w:style w:type="paragraph" w:styleId="687">
    <w:name w:val="Quote"/>
    <w:basedOn w:val="839"/>
    <w:next w:val="839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39"/>
    <w:next w:val="839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40"/>
    <w:link w:val="845"/>
    <w:uiPriority w:val="99"/>
  </w:style>
  <w:style w:type="character" w:styleId="692">
    <w:name w:val="Footer Char"/>
    <w:basedOn w:val="840"/>
    <w:link w:val="847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40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Balloon Text"/>
    <w:basedOn w:val="839"/>
    <w:link w:val="84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40"/>
    <w:link w:val="843"/>
    <w:uiPriority w:val="99"/>
    <w:semiHidden/>
    <w:rPr>
      <w:rFonts w:ascii="Tahoma" w:hAnsi="Tahoma" w:cs="Tahoma"/>
      <w:sz w:val="16"/>
      <w:szCs w:val="16"/>
    </w:rPr>
  </w:style>
  <w:style w:type="paragraph" w:styleId="845">
    <w:name w:val="Header"/>
    <w:basedOn w:val="839"/>
    <w:link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basedOn w:val="840"/>
    <w:link w:val="845"/>
    <w:uiPriority w:val="99"/>
  </w:style>
  <w:style w:type="paragraph" w:styleId="847">
    <w:name w:val="Footer"/>
    <w:basedOn w:val="839"/>
    <w:link w:val="8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8" w:customStyle="1">
    <w:name w:val="Нижний колонтитул Знак"/>
    <w:basedOn w:val="840"/>
    <w:link w:val="847"/>
    <w:uiPriority w:val="99"/>
  </w:style>
  <w:style w:type="paragraph" w:styleId="849" w:customStyle="1">
    <w:name w:val="Знак Знак1 Знак Знак Знак Знак"/>
    <w:basedOn w:val="839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50">
    <w:name w:val="List Paragraph"/>
    <w:basedOn w:val="83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Курова Надежда Валерьевна</dc:creator>
  <cp:lastModifiedBy>TopalEI</cp:lastModifiedBy>
  <cp:revision>161</cp:revision>
  <dcterms:created xsi:type="dcterms:W3CDTF">2015-09-09T10:40:00Z</dcterms:created>
  <dcterms:modified xsi:type="dcterms:W3CDTF">2025-10-07T07:21:21Z</dcterms:modified>
</cp:coreProperties>
</file>