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311FC" w14:textId="10E0E97E" w:rsidR="001B1F74" w:rsidRPr="003B329B" w:rsidRDefault="001B1F74" w:rsidP="001B1F74">
      <w:pPr>
        <w:widowControl w:val="0"/>
        <w:autoSpaceDE w:val="0"/>
        <w:autoSpaceDN w:val="0"/>
        <w:adjustRightInd w:val="0"/>
        <w:jc w:val="center"/>
        <w:rPr>
          <w:bCs/>
          <w:sz w:val="28"/>
          <w:szCs w:val="28"/>
        </w:rPr>
      </w:pPr>
      <w:r w:rsidRPr="003B329B">
        <w:rPr>
          <w:bCs/>
          <w:sz w:val="28"/>
          <w:szCs w:val="28"/>
        </w:rPr>
        <w:t xml:space="preserve">Основные направления налоговой, бюджетной и долговой политики </w:t>
      </w:r>
      <w:r w:rsidRPr="003B329B">
        <w:rPr>
          <w:bCs/>
          <w:sz w:val="28"/>
          <w:szCs w:val="28"/>
        </w:rPr>
        <w:br/>
        <w:t>Нефтеюганского района на 2025 год и плановый период 2026 и 2027 годов</w:t>
      </w:r>
    </w:p>
    <w:p w14:paraId="2E95B914" w14:textId="77777777" w:rsidR="001B1F74" w:rsidRPr="0048554D" w:rsidRDefault="001B1F74" w:rsidP="001B1F74">
      <w:pPr>
        <w:widowControl w:val="0"/>
        <w:autoSpaceDE w:val="0"/>
        <w:autoSpaceDN w:val="0"/>
        <w:adjustRightInd w:val="0"/>
        <w:jc w:val="center"/>
        <w:rPr>
          <w:bCs/>
          <w:sz w:val="26"/>
          <w:szCs w:val="26"/>
        </w:rPr>
      </w:pPr>
    </w:p>
    <w:p w14:paraId="2C36250A" w14:textId="77777777" w:rsidR="00A03DB6" w:rsidRPr="00D21B54" w:rsidRDefault="00A03DB6" w:rsidP="00A03DB6">
      <w:pPr>
        <w:ind w:firstLine="720"/>
        <w:jc w:val="both"/>
        <w:rPr>
          <w:sz w:val="26"/>
          <w:szCs w:val="26"/>
        </w:rPr>
      </w:pPr>
      <w:r w:rsidRPr="00D21B54">
        <w:rPr>
          <w:sz w:val="26"/>
          <w:szCs w:val="26"/>
        </w:rPr>
        <w:t>Основными приоритетами налоговой и бюджетной политики Нефтеюганского района в 2025-2027 годах остаются обеспечение стабильного социально-экономического развития, сохранение финансовой устойчивости и сбалансированности бюджетов бюджетной системы Нефтеюганского района, благоприятного инвестиционного климата, предпринимательской активности, сохранения и развития налоговой базы.</w:t>
      </w:r>
    </w:p>
    <w:p w14:paraId="3437CC32" w14:textId="2BFBA2E5" w:rsidR="00A03DB6" w:rsidRPr="00D21B54" w:rsidRDefault="00A03DB6" w:rsidP="00A03DB6">
      <w:pPr>
        <w:ind w:firstLine="720"/>
        <w:jc w:val="both"/>
        <w:rPr>
          <w:sz w:val="26"/>
          <w:szCs w:val="26"/>
        </w:rPr>
      </w:pPr>
      <w:r w:rsidRPr="00D21B54">
        <w:rPr>
          <w:sz w:val="26"/>
          <w:szCs w:val="26"/>
        </w:rPr>
        <w:t xml:space="preserve">Главным стратегическим ориентиром налоговой политики будет являться стабильность и предсказуемость налогового законодательства, повышение прозрачности налоговой политики. Результатом реализации налоговой политики должно стать увеличение основных показателей социально-экономического развития Нефтеюганского района, и вследствие чего обеспечение поступлений в бюджет </w:t>
      </w:r>
      <w:r w:rsidR="00553489" w:rsidRPr="00D21B54">
        <w:rPr>
          <w:sz w:val="26"/>
          <w:szCs w:val="26"/>
        </w:rPr>
        <w:t xml:space="preserve">Нефтеюганского </w:t>
      </w:r>
      <w:r w:rsidRPr="00D21B54">
        <w:rPr>
          <w:sz w:val="26"/>
          <w:szCs w:val="26"/>
        </w:rPr>
        <w:t>района доходов в запланированных объемах и наращивание собственной доходной базы.</w:t>
      </w:r>
    </w:p>
    <w:p w14:paraId="792B309B" w14:textId="77777777" w:rsidR="00A03DB6" w:rsidRPr="00D21B54" w:rsidRDefault="00A03DB6" w:rsidP="00A03DB6">
      <w:pPr>
        <w:ind w:firstLine="720"/>
        <w:jc w:val="both"/>
        <w:rPr>
          <w:sz w:val="26"/>
          <w:szCs w:val="26"/>
        </w:rPr>
      </w:pPr>
      <w:r w:rsidRPr="00D21B54">
        <w:rPr>
          <w:sz w:val="26"/>
          <w:szCs w:val="26"/>
        </w:rPr>
        <w:t>Сохраняется бюджетная эффективность налоговых преференций, предоставляемых организациям, в целях формирования благоприятного инвестиционного климата и привлечения инвесторов к реализации крупных инвестиционных проектов в Нефтеюганском районе.</w:t>
      </w:r>
    </w:p>
    <w:p w14:paraId="3A871F87" w14:textId="66CC1033" w:rsidR="00486CA9" w:rsidRPr="00A03DB6" w:rsidRDefault="00A03DB6" w:rsidP="00486CA9">
      <w:pPr>
        <w:ind w:firstLine="720"/>
        <w:jc w:val="both"/>
        <w:rPr>
          <w:sz w:val="26"/>
          <w:szCs w:val="26"/>
        </w:rPr>
      </w:pPr>
      <w:r w:rsidRPr="00D21B54">
        <w:rPr>
          <w:sz w:val="26"/>
          <w:szCs w:val="26"/>
        </w:rPr>
        <w:t xml:space="preserve">Основные направления на 2025 год и на плановый период 2026 и 2027 годов </w:t>
      </w:r>
      <w:r w:rsidR="009A4D41" w:rsidRPr="00D21B54">
        <w:rPr>
          <w:sz w:val="26"/>
          <w:szCs w:val="26"/>
        </w:rPr>
        <w:t>с</w:t>
      </w:r>
      <w:r w:rsidRPr="00D21B54">
        <w:rPr>
          <w:sz w:val="26"/>
          <w:szCs w:val="26"/>
        </w:rPr>
        <w:t>формир</w:t>
      </w:r>
      <w:r w:rsidR="009A4D41" w:rsidRPr="00D21B54">
        <w:rPr>
          <w:sz w:val="26"/>
          <w:szCs w:val="26"/>
        </w:rPr>
        <w:t>ованы</w:t>
      </w:r>
      <w:r w:rsidRPr="00D21B54">
        <w:rPr>
          <w:sz w:val="26"/>
          <w:szCs w:val="26"/>
        </w:rPr>
        <w:t xml:space="preserve"> в условиях внесения изменений в налоговую систему, выстраиваемую на принципах справедливости, предсказуемости и стабильности.</w:t>
      </w:r>
      <w:r w:rsidR="00486CA9">
        <w:rPr>
          <w:sz w:val="26"/>
          <w:szCs w:val="26"/>
        </w:rPr>
        <w:t xml:space="preserve"> Учтены </w:t>
      </w:r>
      <w:r w:rsidR="00486CA9" w:rsidRPr="00486CA9">
        <w:rPr>
          <w:sz w:val="26"/>
          <w:szCs w:val="26"/>
        </w:rPr>
        <w:t>изменения, вводимые с 1 января 2025 года Федеральным законом от 13.07.2024 № 177-ФЗ «О внесении изменений в Бюджетный кодекса Российской Федерации и отдельные законодательные акты Российской Федерации» в части введения пятиступенчатой прогрессивной шкалы налога на доходы физических лиц</w:t>
      </w:r>
      <w:r w:rsidR="00486CA9">
        <w:rPr>
          <w:sz w:val="26"/>
          <w:szCs w:val="26"/>
        </w:rPr>
        <w:t xml:space="preserve">. </w:t>
      </w:r>
    </w:p>
    <w:p w14:paraId="1DB4A817" w14:textId="77777777" w:rsidR="00A03DB6" w:rsidRPr="00D21B54" w:rsidRDefault="00A03DB6" w:rsidP="00A03DB6">
      <w:pPr>
        <w:ind w:firstLine="720"/>
        <w:jc w:val="both"/>
        <w:rPr>
          <w:sz w:val="26"/>
          <w:szCs w:val="26"/>
        </w:rPr>
      </w:pPr>
      <w:r w:rsidRPr="00D21B54">
        <w:rPr>
          <w:sz w:val="26"/>
          <w:szCs w:val="26"/>
        </w:rPr>
        <w:t>Основные подходы налоговой политики Нефтеюганского района преемственны налоговой политике Ханты-Мансийского автономного округа – Югры (далее – автономный округ). В автономном округе в целом в налоговой политике акцент сохранится на повышении эффективности стимулирующей функции налоговой системы. Поставленные цели и задачи на среднесрочную перспективу окажут прямое влияние на поступление доходов в бюджет Нефтеюганского района от региональных налогов, и налогов, предусмотренных специальными налоговыми режимами, а также на обязательства отдельных налогоплательщиков, осуществляющих деятельность на территории Нефтеюганского района.</w:t>
      </w:r>
    </w:p>
    <w:p w14:paraId="36A14090" w14:textId="77777777" w:rsidR="00A03DB6" w:rsidRPr="00D21B54" w:rsidRDefault="00A03DB6" w:rsidP="00A03DB6">
      <w:pPr>
        <w:ind w:firstLine="720"/>
        <w:jc w:val="both"/>
        <w:rPr>
          <w:sz w:val="26"/>
          <w:szCs w:val="26"/>
        </w:rPr>
      </w:pPr>
      <w:r w:rsidRPr="00D21B54">
        <w:rPr>
          <w:sz w:val="26"/>
          <w:szCs w:val="26"/>
        </w:rPr>
        <w:t>Планируется увеличение в 2025 году регионального коэффициента, отражающего региональные особенности рынка труда на территории автономного округа, с 3,139 до 3,565, что обеспечит выравнивание налоговой нагрузки на иностранных граждан, осуществляющих трудовую деятельность на основании патента, и российских граждан.</w:t>
      </w:r>
    </w:p>
    <w:p w14:paraId="6336B5B8" w14:textId="77777777" w:rsidR="00A03DB6" w:rsidRPr="00D21B54" w:rsidRDefault="00A03DB6" w:rsidP="00A03DB6">
      <w:pPr>
        <w:ind w:firstLine="720"/>
        <w:jc w:val="both"/>
        <w:rPr>
          <w:sz w:val="26"/>
          <w:szCs w:val="26"/>
        </w:rPr>
      </w:pPr>
      <w:r w:rsidRPr="00D21B54">
        <w:rPr>
          <w:sz w:val="26"/>
          <w:szCs w:val="26"/>
        </w:rPr>
        <w:t xml:space="preserve">Планируется возобновление работы по актуализации размеров потенциально возможного годового дохода (далее – потенциальный доход), который может быть получен индивидуальным предпринимателем при применении патентной системы налогообложения. С 1 января 2025 года предлагается установление положения, предусматривающего ежегодную индексацию размеров потенциального дохода по видам предпринимательской деятельности, в отношении которых применяется </w:t>
      </w:r>
      <w:r w:rsidRPr="00D21B54">
        <w:rPr>
          <w:sz w:val="26"/>
          <w:szCs w:val="26"/>
        </w:rPr>
        <w:lastRenderedPageBreak/>
        <w:t>патентная система, на коэффициент-дефлятор, определяемый ежегодно Министерством экономического развития Российской Федерации.</w:t>
      </w:r>
    </w:p>
    <w:p w14:paraId="44E632C7" w14:textId="77777777" w:rsidR="00A03DB6" w:rsidRPr="00D21B54" w:rsidRDefault="00A03DB6" w:rsidP="00A03DB6">
      <w:pPr>
        <w:ind w:firstLine="720"/>
        <w:jc w:val="both"/>
        <w:rPr>
          <w:sz w:val="26"/>
          <w:szCs w:val="26"/>
        </w:rPr>
      </w:pPr>
      <w:r w:rsidRPr="00D21B54">
        <w:rPr>
          <w:sz w:val="26"/>
          <w:szCs w:val="26"/>
        </w:rPr>
        <w:t>Продление «налоговых каникул» для налогоплательщиков - индивидуальных предпринимателей, применяющих упрощенную или патентную системы налогообложения, впервые зарегистрированных и осуществляющих виды предпринимательской деятельности в производственной, социальной и (или) научной сферах, а также в сфере бытовых услуг населению и услуг по предоставлению мест для временного проживания.</w:t>
      </w:r>
    </w:p>
    <w:p w14:paraId="04DD31BD" w14:textId="77777777" w:rsidR="00A03DB6" w:rsidRPr="00D21B54" w:rsidRDefault="00A03DB6" w:rsidP="00A03DB6">
      <w:pPr>
        <w:ind w:firstLine="720"/>
        <w:jc w:val="both"/>
        <w:rPr>
          <w:sz w:val="26"/>
          <w:szCs w:val="26"/>
        </w:rPr>
      </w:pPr>
      <w:r w:rsidRPr="00D21B54">
        <w:rPr>
          <w:sz w:val="26"/>
          <w:szCs w:val="26"/>
        </w:rPr>
        <w:t>В целях создания среды, благоприятной для инвестиций обеспечения устойчивости бюджетной системы и экономического роста в Нефтеюганском районе на муниципальном уровне продолжится предоставление финансовой поддержки предпринимателям, осуществляющим социально значимые (приоритетные) виды деятельности.</w:t>
      </w:r>
    </w:p>
    <w:p w14:paraId="2D425875" w14:textId="77777777" w:rsidR="00A03DB6" w:rsidRPr="00D21B54" w:rsidRDefault="00A03DB6" w:rsidP="00A03DB6">
      <w:pPr>
        <w:ind w:firstLine="720"/>
        <w:jc w:val="both"/>
        <w:rPr>
          <w:sz w:val="26"/>
          <w:szCs w:val="26"/>
        </w:rPr>
      </w:pPr>
      <w:r w:rsidRPr="00D21B54">
        <w:rPr>
          <w:sz w:val="26"/>
          <w:szCs w:val="26"/>
        </w:rPr>
        <w:t>Создание комфортной предпринимательской среды является стратегическим приоритетом. Это вложения в новые рабочие места, фундамент для долгосрочного роста и благополучия Нефтеюганского района.</w:t>
      </w:r>
    </w:p>
    <w:p w14:paraId="65483C4C" w14:textId="479FA58B" w:rsidR="00A03DB6" w:rsidRPr="00D21B54" w:rsidRDefault="00A03DB6" w:rsidP="00A03DB6">
      <w:pPr>
        <w:ind w:firstLine="720"/>
        <w:jc w:val="both"/>
        <w:rPr>
          <w:sz w:val="26"/>
          <w:szCs w:val="26"/>
        </w:rPr>
      </w:pPr>
      <w:r w:rsidRPr="00D21B54">
        <w:rPr>
          <w:sz w:val="26"/>
          <w:szCs w:val="26"/>
        </w:rPr>
        <w:t xml:space="preserve">Основой формирования налоговой политики, а также основных параметров налоговых и неналоговых доходов бюджета </w:t>
      </w:r>
      <w:r w:rsidR="00FA0DB5" w:rsidRPr="00D21B54">
        <w:rPr>
          <w:sz w:val="26"/>
          <w:szCs w:val="26"/>
        </w:rPr>
        <w:t xml:space="preserve">Нефтеюганского района </w:t>
      </w:r>
      <w:r w:rsidRPr="00D21B54">
        <w:rPr>
          <w:sz w:val="26"/>
          <w:szCs w:val="26"/>
        </w:rPr>
        <w:t xml:space="preserve">на 2025 год и среднесрочную перспективу до 2027 года являются показатели прогноза социально-экономического развития </w:t>
      </w:r>
      <w:r w:rsidR="00433ED7" w:rsidRPr="00D21B54">
        <w:rPr>
          <w:sz w:val="26"/>
          <w:szCs w:val="26"/>
        </w:rPr>
        <w:t xml:space="preserve">Нефтеюганского района </w:t>
      </w:r>
      <w:r w:rsidRPr="00D21B54">
        <w:rPr>
          <w:sz w:val="26"/>
          <w:szCs w:val="26"/>
        </w:rPr>
        <w:t>на 2025-2027 годы.</w:t>
      </w:r>
    </w:p>
    <w:p w14:paraId="019B1A73" w14:textId="77777777" w:rsidR="00A03DB6" w:rsidRPr="00D21B54" w:rsidRDefault="00A03DB6" w:rsidP="00A03DB6">
      <w:pPr>
        <w:ind w:firstLine="720"/>
        <w:jc w:val="both"/>
        <w:rPr>
          <w:sz w:val="26"/>
          <w:szCs w:val="26"/>
        </w:rPr>
      </w:pPr>
      <w:r w:rsidRPr="00D21B54">
        <w:rPr>
          <w:sz w:val="26"/>
          <w:szCs w:val="26"/>
        </w:rPr>
        <w:t>Предварительные объемы доходов бюджета Нефтеюганского района на 2025 год спрогнозированы в сумме 7 915 772,39356 тыс. рублей, и плановый период 2026 и 2027 годов в сумме 6 671 151,10622 тыс. рублей, и в сумме 6 896 859,80351 тыс. рублей. Из них:</w:t>
      </w:r>
    </w:p>
    <w:p w14:paraId="36524BD3" w14:textId="77777777" w:rsidR="00A03DB6" w:rsidRPr="00D21B54" w:rsidRDefault="00A03DB6" w:rsidP="00A03DB6">
      <w:pPr>
        <w:ind w:firstLine="720"/>
        <w:jc w:val="both"/>
        <w:rPr>
          <w:sz w:val="26"/>
          <w:szCs w:val="26"/>
        </w:rPr>
      </w:pPr>
      <w:r w:rsidRPr="00D21B54">
        <w:rPr>
          <w:sz w:val="26"/>
          <w:szCs w:val="26"/>
        </w:rPr>
        <w:t>-предварительные безвозмездные поступления из бюджета автономного округа составят: на 2025 год 4 792 213,6 тыс. рублей; на 2026 год 3 545 693,8 тыс. рублей; на 2027 год 3 877 420,5 тыс. рублей, и межбюджетных трансфертов из бюджетов поселений, входящих в состав Нефтеюганского района на 2025 год в сумме 277 399,09356 тыс. рублей, на 2026 год в сумме 182 887,80622 тыс. рублей и на 2027 год в сумме 5 266,10351 тыс. рублей.</w:t>
      </w:r>
    </w:p>
    <w:p w14:paraId="0E33B147" w14:textId="77777777" w:rsidR="00A03DB6" w:rsidRPr="00D21B54" w:rsidRDefault="00A03DB6" w:rsidP="00A03DB6">
      <w:pPr>
        <w:ind w:firstLine="720"/>
        <w:jc w:val="both"/>
        <w:rPr>
          <w:sz w:val="26"/>
          <w:szCs w:val="26"/>
        </w:rPr>
      </w:pPr>
      <w:r w:rsidRPr="00D21B54">
        <w:rPr>
          <w:sz w:val="26"/>
          <w:szCs w:val="26"/>
        </w:rPr>
        <w:t xml:space="preserve">-налоговые и неналоговые доходы бюджета Нефтеюганского района на 2025 год прогнозируются в сумме 2 846 159,7 тыс. рублей. В 2026 и 2027 годах запланирован рост на 3,4 % в 2026 году и 2,4 % в 2027 году. </w:t>
      </w:r>
    </w:p>
    <w:p w14:paraId="7024A4A4" w14:textId="77777777" w:rsidR="00A03DB6" w:rsidRPr="00D21B54" w:rsidRDefault="00A03DB6" w:rsidP="00A03DB6">
      <w:pPr>
        <w:ind w:firstLine="720"/>
        <w:jc w:val="both"/>
        <w:rPr>
          <w:sz w:val="26"/>
          <w:szCs w:val="26"/>
        </w:rPr>
      </w:pPr>
      <w:r w:rsidRPr="00D21B54">
        <w:rPr>
          <w:sz w:val="26"/>
          <w:szCs w:val="26"/>
        </w:rPr>
        <w:t>Основными источниками доходов на ближайшие три года для района останутся налог на доходы физических лиц, налог от применения упрощенной системы налогообложения, доходы от использования имущества муниципальной собственности. Их доля составляет свыше 92,0 % в общей сумме налоговых и неналоговых доходов.</w:t>
      </w:r>
    </w:p>
    <w:p w14:paraId="19AEA013" w14:textId="12EABA2B" w:rsidR="006A32C9" w:rsidRDefault="006A32C9" w:rsidP="00A03DB6">
      <w:pPr>
        <w:rPr>
          <w:sz w:val="26"/>
          <w:szCs w:val="26"/>
        </w:rPr>
      </w:pPr>
    </w:p>
    <w:p w14:paraId="51F4CCAD" w14:textId="0E895FA1" w:rsidR="003B329B" w:rsidRDefault="003B329B" w:rsidP="00A03DB6">
      <w:pPr>
        <w:rPr>
          <w:sz w:val="26"/>
          <w:szCs w:val="26"/>
        </w:rPr>
      </w:pPr>
    </w:p>
    <w:p w14:paraId="47266341" w14:textId="65ADFAAB" w:rsidR="003B329B" w:rsidRDefault="003B329B" w:rsidP="00A03DB6">
      <w:pPr>
        <w:rPr>
          <w:sz w:val="26"/>
          <w:szCs w:val="26"/>
        </w:rPr>
      </w:pPr>
    </w:p>
    <w:p w14:paraId="5E76625D" w14:textId="544C6917" w:rsidR="003B329B" w:rsidRDefault="003B329B" w:rsidP="00A03DB6">
      <w:pPr>
        <w:rPr>
          <w:sz w:val="26"/>
          <w:szCs w:val="26"/>
        </w:rPr>
      </w:pPr>
    </w:p>
    <w:p w14:paraId="12687C83" w14:textId="17F68CFC" w:rsidR="003B329B" w:rsidRDefault="003B329B" w:rsidP="00A03DB6">
      <w:pPr>
        <w:rPr>
          <w:sz w:val="26"/>
          <w:szCs w:val="26"/>
        </w:rPr>
      </w:pPr>
    </w:p>
    <w:p w14:paraId="688B593D" w14:textId="0755C857" w:rsidR="003B329B" w:rsidRDefault="003B329B" w:rsidP="00A03DB6">
      <w:pPr>
        <w:rPr>
          <w:sz w:val="26"/>
          <w:szCs w:val="26"/>
        </w:rPr>
      </w:pPr>
    </w:p>
    <w:p w14:paraId="00F35760" w14:textId="0FD65012" w:rsidR="003B329B" w:rsidRDefault="003B329B" w:rsidP="00A03DB6">
      <w:pPr>
        <w:rPr>
          <w:sz w:val="26"/>
          <w:szCs w:val="26"/>
        </w:rPr>
      </w:pPr>
    </w:p>
    <w:p w14:paraId="2BCA7F88" w14:textId="01DB8B77" w:rsidR="003B329B" w:rsidRDefault="003B329B" w:rsidP="00A03DB6">
      <w:pPr>
        <w:rPr>
          <w:sz w:val="26"/>
          <w:szCs w:val="26"/>
        </w:rPr>
      </w:pPr>
    </w:p>
    <w:p w14:paraId="5E82139E" w14:textId="4E4822DE" w:rsidR="003B329B" w:rsidRDefault="003B329B" w:rsidP="00A03DB6">
      <w:pPr>
        <w:rPr>
          <w:sz w:val="26"/>
          <w:szCs w:val="26"/>
        </w:rPr>
      </w:pPr>
    </w:p>
    <w:p w14:paraId="406E8081" w14:textId="77777777" w:rsidR="003B329B" w:rsidRDefault="003B329B" w:rsidP="00A03DB6">
      <w:pPr>
        <w:rPr>
          <w:sz w:val="26"/>
          <w:szCs w:val="26"/>
        </w:rPr>
      </w:pPr>
    </w:p>
    <w:p w14:paraId="0559F512" w14:textId="77777777" w:rsidR="003B329B" w:rsidRPr="00D21B54" w:rsidRDefault="003B329B" w:rsidP="00A03DB6">
      <w:pPr>
        <w:rPr>
          <w:sz w:val="26"/>
          <w:szCs w:val="26"/>
        </w:rPr>
      </w:pPr>
    </w:p>
    <w:p w14:paraId="4B1086AA" w14:textId="77777777" w:rsidR="006A32C9" w:rsidRPr="003B329B" w:rsidRDefault="006A32C9" w:rsidP="006A32C9">
      <w:pPr>
        <w:tabs>
          <w:tab w:val="left" w:pos="709"/>
        </w:tabs>
        <w:autoSpaceDE w:val="0"/>
        <w:autoSpaceDN w:val="0"/>
        <w:adjustRightInd w:val="0"/>
        <w:jc w:val="center"/>
        <w:rPr>
          <w:bCs/>
          <w:sz w:val="28"/>
          <w:szCs w:val="28"/>
        </w:rPr>
      </w:pPr>
      <w:r w:rsidRPr="003B329B">
        <w:rPr>
          <w:bCs/>
          <w:sz w:val="28"/>
          <w:szCs w:val="28"/>
        </w:rPr>
        <w:lastRenderedPageBreak/>
        <w:t xml:space="preserve">Основные направления бюджетной политики Нефтеюганского района </w:t>
      </w:r>
    </w:p>
    <w:p w14:paraId="540AF695" w14:textId="77777777" w:rsidR="006A32C9" w:rsidRPr="003B329B" w:rsidRDefault="006A32C9" w:rsidP="006A32C9">
      <w:pPr>
        <w:autoSpaceDE w:val="0"/>
        <w:autoSpaceDN w:val="0"/>
        <w:adjustRightInd w:val="0"/>
        <w:jc w:val="center"/>
        <w:rPr>
          <w:bCs/>
          <w:sz w:val="28"/>
          <w:szCs w:val="28"/>
        </w:rPr>
      </w:pPr>
      <w:r w:rsidRPr="003B329B">
        <w:rPr>
          <w:bCs/>
          <w:sz w:val="28"/>
          <w:szCs w:val="28"/>
        </w:rPr>
        <w:t>на 2025 год и плановый период 2026 и 2027 годов</w:t>
      </w:r>
    </w:p>
    <w:p w14:paraId="43A28F44" w14:textId="77777777" w:rsidR="006A32C9" w:rsidRPr="00D21B54" w:rsidRDefault="006A32C9" w:rsidP="006A32C9">
      <w:pPr>
        <w:tabs>
          <w:tab w:val="left" w:pos="709"/>
        </w:tabs>
        <w:autoSpaceDE w:val="0"/>
        <w:autoSpaceDN w:val="0"/>
        <w:adjustRightInd w:val="0"/>
        <w:jc w:val="center"/>
        <w:rPr>
          <w:bCs/>
          <w:sz w:val="26"/>
          <w:szCs w:val="26"/>
        </w:rPr>
      </w:pPr>
    </w:p>
    <w:p w14:paraId="0EEDC6F2" w14:textId="77777777" w:rsidR="002747B6" w:rsidRPr="00D21B54" w:rsidRDefault="002747B6" w:rsidP="002747B6">
      <w:pPr>
        <w:autoSpaceDE w:val="0"/>
        <w:autoSpaceDN w:val="0"/>
        <w:adjustRightInd w:val="0"/>
        <w:ind w:firstLine="709"/>
        <w:jc w:val="both"/>
        <w:rPr>
          <w:sz w:val="26"/>
          <w:szCs w:val="26"/>
        </w:rPr>
      </w:pPr>
      <w:r w:rsidRPr="00D21B54">
        <w:rPr>
          <w:sz w:val="26"/>
          <w:szCs w:val="26"/>
        </w:rPr>
        <w:t xml:space="preserve">Ключевыми приоритетами бюджетной политики Нефтеюганского района </w:t>
      </w:r>
      <w:r w:rsidRPr="00D21B54">
        <w:rPr>
          <w:sz w:val="26"/>
          <w:szCs w:val="26"/>
        </w:rPr>
        <w:br/>
        <w:t xml:space="preserve">в области расходов остаются обеспечение выполнения национальных целей </w:t>
      </w:r>
      <w:r w:rsidRPr="00D21B54">
        <w:rPr>
          <w:sz w:val="26"/>
          <w:szCs w:val="26"/>
        </w:rPr>
        <w:br/>
        <w:t xml:space="preserve">и стратегических задач развития, определенных Указом № 309 и </w:t>
      </w:r>
      <w:hyperlink r:id="rId7" w:history="1">
        <w:r w:rsidRPr="00D21B54">
          <w:rPr>
            <w:sz w:val="26"/>
            <w:szCs w:val="26"/>
          </w:rPr>
          <w:t>Послания</w:t>
        </w:r>
      </w:hyperlink>
      <w:r w:rsidRPr="00D21B54">
        <w:rPr>
          <w:sz w:val="26"/>
          <w:szCs w:val="26"/>
        </w:rPr>
        <w:t xml:space="preserve"> Президента Российской Федерации Федеральному Собранию Российской Федерации от 29.02.2024, исполнение социально значимых обязательств, концентрация бюджетных инвестиционных ресурсов по приоритетным направлениям социально-экономического развития.</w:t>
      </w:r>
    </w:p>
    <w:p w14:paraId="52F5F25A" w14:textId="77777777" w:rsidR="002747B6" w:rsidRPr="00D21B54" w:rsidRDefault="002747B6" w:rsidP="002747B6">
      <w:pPr>
        <w:ind w:firstLine="709"/>
        <w:jc w:val="both"/>
        <w:rPr>
          <w:sz w:val="26"/>
          <w:szCs w:val="26"/>
        </w:rPr>
      </w:pPr>
      <w:r w:rsidRPr="00D21B54">
        <w:rPr>
          <w:sz w:val="26"/>
          <w:szCs w:val="26"/>
        </w:rPr>
        <w:t>Для формирования проектировок расходов бюджета Нефтеюганского района на очередной финансовый год и плановый период в качестве «базовых» приняты расходы, утвержденные решением Думы Нефтеюганского района от 29.11.2023 № 964 «О бюджете Нефтеюганского района на 2024 год и плановый период 2025 и 2026 годов» без учёта средств, предоставляемых бюджету Нефтеюганского района из федерального бюджета, бюджета автономного округа, единовременных расходных обязательств, и расходных обязательств, срок действия которых заканчивается в текущем финансовом году.</w:t>
      </w:r>
    </w:p>
    <w:p w14:paraId="405F48A0" w14:textId="77777777" w:rsidR="002747B6" w:rsidRPr="00D21B54" w:rsidRDefault="002747B6" w:rsidP="002747B6">
      <w:pPr>
        <w:ind w:firstLine="709"/>
        <w:jc w:val="both"/>
        <w:rPr>
          <w:rFonts w:eastAsia="Calibri"/>
          <w:sz w:val="26"/>
          <w:szCs w:val="26"/>
        </w:rPr>
      </w:pPr>
      <w:r w:rsidRPr="00D21B54">
        <w:rPr>
          <w:rFonts w:eastAsia="Calibri"/>
          <w:sz w:val="26"/>
          <w:szCs w:val="26"/>
        </w:rPr>
        <w:t>При расчёте базовых предельных объемов расходов бюджета Нефтеюганского района на 2025-2026 годы учтены следующие факторы:</w:t>
      </w:r>
    </w:p>
    <w:p w14:paraId="22720B7A" w14:textId="77777777" w:rsidR="002747B6" w:rsidRPr="00D21B54" w:rsidRDefault="002747B6" w:rsidP="002747B6">
      <w:pPr>
        <w:numPr>
          <w:ilvl w:val="0"/>
          <w:numId w:val="2"/>
        </w:numPr>
        <w:tabs>
          <w:tab w:val="left" w:pos="1134"/>
        </w:tabs>
        <w:ind w:left="0" w:firstLine="709"/>
        <w:contextualSpacing/>
        <w:jc w:val="both"/>
        <w:rPr>
          <w:rFonts w:eastAsia="Calibri"/>
          <w:sz w:val="26"/>
          <w:szCs w:val="26"/>
        </w:rPr>
      </w:pPr>
      <w:r w:rsidRPr="00D21B54">
        <w:rPr>
          <w:rFonts w:eastAsia="Calibri"/>
          <w:sz w:val="26"/>
          <w:szCs w:val="26"/>
        </w:rPr>
        <w:t>индексация с 1 октября 2025 года на 4% фонда оплаты труда работников государственных учреждений, не учтенных в Указе № 597 и работников органов местного самоуправления Нефтеюганского района;</w:t>
      </w:r>
    </w:p>
    <w:p w14:paraId="0C2F09A3" w14:textId="77777777" w:rsidR="002747B6" w:rsidRPr="00D21B54" w:rsidRDefault="002747B6" w:rsidP="002747B6">
      <w:pPr>
        <w:numPr>
          <w:ilvl w:val="0"/>
          <w:numId w:val="2"/>
        </w:numPr>
        <w:tabs>
          <w:tab w:val="left" w:pos="1134"/>
        </w:tabs>
        <w:ind w:left="0" w:firstLine="709"/>
        <w:contextualSpacing/>
        <w:jc w:val="both"/>
        <w:rPr>
          <w:rFonts w:eastAsia="Calibri"/>
          <w:sz w:val="26"/>
          <w:szCs w:val="26"/>
        </w:rPr>
      </w:pPr>
      <w:r w:rsidRPr="00D21B54">
        <w:rPr>
          <w:rFonts w:eastAsia="Calibri"/>
          <w:sz w:val="26"/>
          <w:szCs w:val="26"/>
        </w:rPr>
        <w:t>в расчёте фонда оплаты труда по категориям работников, подпадающих под Указа № 597 учтено прогнозное значение показателя «среднемесячный доход от трудовой деятельности» на 2025 год – 108 617 рубля с ростом на 8,6% к оценке на 2024 год;</w:t>
      </w:r>
    </w:p>
    <w:p w14:paraId="03915C2E" w14:textId="77777777" w:rsidR="002747B6" w:rsidRPr="00D21B54" w:rsidRDefault="002747B6" w:rsidP="002747B6">
      <w:pPr>
        <w:numPr>
          <w:ilvl w:val="0"/>
          <w:numId w:val="2"/>
        </w:numPr>
        <w:tabs>
          <w:tab w:val="left" w:pos="1134"/>
        </w:tabs>
        <w:ind w:left="0" w:firstLine="709"/>
        <w:contextualSpacing/>
        <w:jc w:val="both"/>
        <w:rPr>
          <w:rFonts w:eastAsia="Calibri"/>
          <w:sz w:val="26"/>
          <w:szCs w:val="26"/>
        </w:rPr>
      </w:pPr>
      <w:r w:rsidRPr="00D21B54">
        <w:rPr>
          <w:rFonts w:eastAsia="Calibri"/>
          <w:sz w:val="26"/>
          <w:szCs w:val="26"/>
        </w:rPr>
        <w:t>прогнозная величина минимального размера оплаты труда (МРОТ) с 1 января 2025 года – 22 440 рублей с ростом на 16,6% к его размеру на 1 января 2024 года – 19 242 рубля.</w:t>
      </w:r>
    </w:p>
    <w:p w14:paraId="1A3189BC" w14:textId="77777777" w:rsidR="002747B6" w:rsidRPr="00D21B54" w:rsidRDefault="002747B6" w:rsidP="002747B6">
      <w:pPr>
        <w:ind w:firstLine="709"/>
        <w:contextualSpacing/>
        <w:jc w:val="both"/>
        <w:rPr>
          <w:rFonts w:cs="Arial"/>
          <w:sz w:val="26"/>
          <w:szCs w:val="26"/>
        </w:rPr>
      </w:pPr>
      <w:r w:rsidRPr="00D21B54">
        <w:rPr>
          <w:rFonts w:eastAsia="Calibri"/>
          <w:sz w:val="26"/>
          <w:szCs w:val="26"/>
        </w:rPr>
        <w:t xml:space="preserve">Приоритетом для администрации Нефтеюганского района является предоставление мер поддержки участникам специальной военной операции и членам их семей, в том числе </w:t>
      </w:r>
      <w:r w:rsidRPr="00D21B54">
        <w:rPr>
          <w:rFonts w:cs="Arial"/>
          <w:sz w:val="26"/>
          <w:szCs w:val="26"/>
        </w:rPr>
        <w:t>предоставление дополнительной меры социальной поддержки гражданам, заключившим контракт о прохождении военной службы,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в виде единовременной выплаты.</w:t>
      </w:r>
    </w:p>
    <w:p w14:paraId="797DB674" w14:textId="77777777" w:rsidR="002747B6" w:rsidRPr="00D21B54" w:rsidRDefault="002747B6" w:rsidP="002747B6">
      <w:pPr>
        <w:ind w:firstLine="709"/>
        <w:contextualSpacing/>
        <w:jc w:val="both"/>
        <w:rPr>
          <w:rFonts w:eastAsia="Calibri"/>
          <w:sz w:val="26"/>
          <w:szCs w:val="26"/>
        </w:rPr>
      </w:pPr>
      <w:r w:rsidRPr="00D21B54">
        <w:rPr>
          <w:rFonts w:eastAsia="Calibri"/>
          <w:sz w:val="26"/>
          <w:szCs w:val="26"/>
        </w:rPr>
        <w:t>В целях решения вопроса по расселению граждан из аварийного жилья Нефтеюганский район примет участие в новой адресной программе Ханты-Мансийского автономного округа – Югры с периодом реализации до 2030 года по переселению граждан из аварийного жилищного фонда, признанного таковым с 1 января 2017 года до 1 января 2022 года.</w:t>
      </w:r>
    </w:p>
    <w:p w14:paraId="3F4D1A0C" w14:textId="77777777" w:rsidR="002747B6" w:rsidRDefault="002747B6" w:rsidP="002747B6">
      <w:pPr>
        <w:ind w:firstLine="709"/>
        <w:contextualSpacing/>
        <w:jc w:val="both"/>
        <w:rPr>
          <w:rFonts w:eastAsia="Calibri"/>
          <w:sz w:val="26"/>
          <w:szCs w:val="26"/>
        </w:rPr>
      </w:pPr>
      <w:r w:rsidRPr="00D21B54">
        <w:rPr>
          <w:rFonts w:eastAsia="Calibri"/>
          <w:sz w:val="26"/>
          <w:szCs w:val="26"/>
        </w:rPr>
        <w:t xml:space="preserve">В целях создания комфортных условий для ведения бизнеса на муниципальном уровне продолжится предоставление финансовой поддержки предпринимателям, осуществляющим социально значимые (приоритетные) виды деятельности, в виде возмещения части затрат на приобретение оборудования (основных средств) и лицензионных программных продуктов, на оплату коммунальных услуг, на аренду (субаренду) нежилых помещений, на обязательную </w:t>
      </w:r>
      <w:r w:rsidRPr="00D21B54">
        <w:rPr>
          <w:rFonts w:eastAsia="Calibri"/>
          <w:sz w:val="26"/>
          <w:szCs w:val="26"/>
        </w:rPr>
        <w:lastRenderedPageBreak/>
        <w:t>сертификацию продукции, а также возмещение части затрат, связанных с началом предпринимательской деятельности, предоставление грантов начинающим предпринимателям и действующим предпринимателям на развитие бизнеса.</w:t>
      </w:r>
    </w:p>
    <w:p w14:paraId="0BED1428" w14:textId="77777777" w:rsidR="002747B6" w:rsidRDefault="002747B6" w:rsidP="002747B6">
      <w:pPr>
        <w:ind w:firstLine="709"/>
        <w:jc w:val="both"/>
        <w:rPr>
          <w:sz w:val="26"/>
          <w:szCs w:val="26"/>
        </w:rPr>
      </w:pPr>
      <w:r>
        <w:rPr>
          <w:sz w:val="26"/>
          <w:szCs w:val="26"/>
        </w:rPr>
        <w:t xml:space="preserve">В целях устойчивого развития агропромышленного комплекса и сельских территорий, повышения конкурентоспособности произведенной в Нефтеюганском районе сельскохозяйственной продукции продолжится работа по оказанию поддержки местным сельскохозяйственным товаропроизводителям. </w:t>
      </w:r>
    </w:p>
    <w:p w14:paraId="24C5EE19" w14:textId="3D80E737" w:rsidR="00EA61FE" w:rsidRPr="00EA61FE" w:rsidRDefault="002747B6" w:rsidP="00EA61FE">
      <w:pPr>
        <w:ind w:firstLine="708"/>
        <w:jc w:val="both"/>
        <w:rPr>
          <w:sz w:val="26"/>
          <w:szCs w:val="26"/>
          <w:highlight w:val="green"/>
        </w:rPr>
      </w:pPr>
      <w:r w:rsidRPr="00D21B54">
        <w:rPr>
          <w:sz w:val="26"/>
          <w:szCs w:val="26"/>
        </w:rPr>
        <w:t xml:space="preserve">В рамках мероприятий по подготовке к осенне-зимнему периоду будет продолжена замена ветхих сетей тепло-, водоснабжения, водоотведения и ремонт оборудования </w:t>
      </w:r>
      <w:r w:rsidR="00331713" w:rsidRPr="00D21B54">
        <w:rPr>
          <w:sz w:val="26"/>
          <w:szCs w:val="26"/>
        </w:rPr>
        <w:t>— это</w:t>
      </w:r>
      <w:r w:rsidRPr="00D21B54">
        <w:rPr>
          <w:sz w:val="26"/>
          <w:szCs w:val="26"/>
        </w:rPr>
        <w:t xml:space="preserve"> позволяет обеспечить безаварийное прохождение отопительного </w:t>
      </w:r>
      <w:r w:rsidRPr="008249F9">
        <w:rPr>
          <w:sz w:val="26"/>
          <w:szCs w:val="26"/>
        </w:rPr>
        <w:t>периода</w:t>
      </w:r>
      <w:r w:rsidR="00EA61FE">
        <w:rPr>
          <w:sz w:val="26"/>
          <w:szCs w:val="26"/>
        </w:rPr>
        <w:t xml:space="preserve"> </w:t>
      </w:r>
      <w:r w:rsidR="00E7514A">
        <w:rPr>
          <w:sz w:val="26"/>
          <w:szCs w:val="26"/>
        </w:rPr>
        <w:t>в</w:t>
      </w:r>
      <w:r w:rsidR="00EA61FE">
        <w:rPr>
          <w:sz w:val="26"/>
          <w:szCs w:val="26"/>
        </w:rPr>
        <w:t xml:space="preserve"> 2025-2027 год</w:t>
      </w:r>
      <w:r w:rsidR="00E7514A">
        <w:rPr>
          <w:sz w:val="26"/>
          <w:szCs w:val="26"/>
        </w:rPr>
        <w:t>ах</w:t>
      </w:r>
      <w:r w:rsidR="00EA61FE">
        <w:rPr>
          <w:sz w:val="26"/>
          <w:szCs w:val="26"/>
        </w:rPr>
        <w:t xml:space="preserve"> </w:t>
      </w:r>
      <w:r w:rsidR="00E7514A">
        <w:rPr>
          <w:sz w:val="26"/>
          <w:szCs w:val="26"/>
        </w:rPr>
        <w:t>на</w:t>
      </w:r>
      <w:r w:rsidR="00EA61FE">
        <w:rPr>
          <w:sz w:val="26"/>
          <w:szCs w:val="26"/>
        </w:rPr>
        <w:t xml:space="preserve"> сумм</w:t>
      </w:r>
      <w:r w:rsidR="00E7514A">
        <w:rPr>
          <w:sz w:val="26"/>
          <w:szCs w:val="26"/>
        </w:rPr>
        <w:t>у</w:t>
      </w:r>
      <w:r w:rsidR="00EA61FE">
        <w:rPr>
          <w:sz w:val="26"/>
          <w:szCs w:val="26"/>
        </w:rPr>
        <w:t xml:space="preserve"> </w:t>
      </w:r>
      <w:r w:rsidR="00EA61FE" w:rsidRPr="008249F9">
        <w:rPr>
          <w:sz w:val="26"/>
          <w:szCs w:val="26"/>
        </w:rPr>
        <w:t>188 145,2 тыс. рублей</w:t>
      </w:r>
      <w:r w:rsidR="00EA61FE">
        <w:rPr>
          <w:sz w:val="26"/>
          <w:szCs w:val="26"/>
        </w:rPr>
        <w:t>.</w:t>
      </w:r>
    </w:p>
    <w:p w14:paraId="43942769" w14:textId="77777777" w:rsidR="002747B6" w:rsidRPr="00D21B54" w:rsidRDefault="002747B6" w:rsidP="009F13C1">
      <w:pPr>
        <w:ind w:firstLine="709"/>
        <w:contextualSpacing/>
        <w:jc w:val="both"/>
        <w:rPr>
          <w:rFonts w:eastAsia="Calibri"/>
          <w:sz w:val="26"/>
          <w:szCs w:val="26"/>
        </w:rPr>
      </w:pPr>
      <w:r w:rsidRPr="00D21B54">
        <w:rPr>
          <w:rFonts w:eastAsia="Calibri"/>
          <w:sz w:val="26"/>
          <w:szCs w:val="26"/>
        </w:rPr>
        <w:t>В целях поддержки инициатив граждан, в Нефтеюганском районе продолжится практика инициативного бюджетирования, в том числе на реализацию мероприятий по благоустройству территорий поселений, скверов, парков, дворовых территорий и прочих мероприятий по созданию комфортных условий проживания граждан.</w:t>
      </w:r>
    </w:p>
    <w:p w14:paraId="60C73FF6" w14:textId="77777777" w:rsidR="002747B6" w:rsidRPr="00D21B54" w:rsidRDefault="002747B6" w:rsidP="009F13C1">
      <w:pPr>
        <w:ind w:firstLine="709"/>
        <w:jc w:val="both"/>
        <w:rPr>
          <w:sz w:val="26"/>
          <w:szCs w:val="26"/>
        </w:rPr>
      </w:pPr>
      <w:r w:rsidRPr="00D21B54">
        <w:rPr>
          <w:sz w:val="26"/>
          <w:szCs w:val="26"/>
        </w:rPr>
        <w:t xml:space="preserve">Бюджетная политика в сфере межбюджетных отношений в Нефтеюганском районе, как и прежде, будет направлена на поддержание устойчивости местных бюджетов и их сбалансированности, повышение прозрачности и предсказуемости предоставления межбюджетных трансфертов, а также стимулирование органов местного самоуправления поселений, входящих в состав Нефтеюганского района, к наращиванию налогового потенциала, эффективному муниципальному управлению. </w:t>
      </w:r>
    </w:p>
    <w:p w14:paraId="6083DAC5" w14:textId="3556EA7C" w:rsidR="003B68A3" w:rsidRDefault="002358AA" w:rsidP="009F13C1">
      <w:pPr>
        <w:ind w:firstLine="708"/>
        <w:jc w:val="both"/>
        <w:rPr>
          <w:rFonts w:eastAsia="Calibri"/>
          <w:sz w:val="26"/>
          <w:szCs w:val="26"/>
          <w:lang w:eastAsia="en-US"/>
        </w:rPr>
      </w:pPr>
      <w:r w:rsidRPr="002358AA">
        <w:rPr>
          <w:rFonts w:eastAsia="Calibri"/>
          <w:sz w:val="26"/>
          <w:szCs w:val="26"/>
          <w:lang w:eastAsia="en-US"/>
        </w:rPr>
        <w:t xml:space="preserve">Общий объем выравнивающих трансфертов из районного и окружного бюджетов на 2025 год сохранен на уровне 2024 года и составляет в сумме 429 051,8 тыс. рублей. </w:t>
      </w:r>
    </w:p>
    <w:p w14:paraId="016E4182" w14:textId="3F3B15DF" w:rsidR="002358AA" w:rsidRDefault="003B68A3" w:rsidP="009F13C1">
      <w:pPr>
        <w:ind w:firstLine="708"/>
        <w:jc w:val="both"/>
        <w:rPr>
          <w:rFonts w:eastAsia="Calibri"/>
          <w:sz w:val="26"/>
          <w:szCs w:val="26"/>
          <w:lang w:eastAsia="en-US"/>
        </w:rPr>
      </w:pPr>
      <w:r>
        <w:rPr>
          <w:rFonts w:eastAsia="Calibri"/>
          <w:sz w:val="26"/>
          <w:szCs w:val="26"/>
          <w:lang w:eastAsia="en-US"/>
        </w:rPr>
        <w:t>П</w:t>
      </w:r>
      <w:r w:rsidR="002358AA" w:rsidRPr="002358AA">
        <w:rPr>
          <w:rFonts w:eastAsia="Calibri"/>
          <w:sz w:val="26"/>
          <w:szCs w:val="26"/>
          <w:lang w:eastAsia="en-US"/>
        </w:rPr>
        <w:t>оддержка поселений предусматривает предоставление иных межбюджетных трансфертов на обеспечение сбалансированности, объем которых на 2025 год запланирован с увеличением к 2024 году на 7 559,3 тыс. рубле</w:t>
      </w:r>
      <w:r w:rsidR="006F261E">
        <w:rPr>
          <w:rFonts w:eastAsia="Calibri"/>
          <w:sz w:val="26"/>
          <w:szCs w:val="26"/>
          <w:lang w:eastAsia="en-US"/>
        </w:rPr>
        <w:t>й и составил всего 107 559,3 тыс. рублей</w:t>
      </w:r>
      <w:r w:rsidR="002358AA" w:rsidRPr="002358AA">
        <w:rPr>
          <w:rFonts w:eastAsia="Calibri"/>
          <w:sz w:val="26"/>
          <w:szCs w:val="26"/>
          <w:lang w:eastAsia="en-US"/>
        </w:rPr>
        <w:t>.</w:t>
      </w:r>
    </w:p>
    <w:p w14:paraId="4E5EF513" w14:textId="3442CAE3" w:rsidR="006A32C9" w:rsidRPr="002358AA" w:rsidRDefault="002747B6" w:rsidP="009F13C1">
      <w:pPr>
        <w:ind w:firstLine="708"/>
        <w:jc w:val="both"/>
        <w:rPr>
          <w:rFonts w:eastAsia="Calibri"/>
          <w:sz w:val="26"/>
          <w:szCs w:val="26"/>
          <w:lang w:eastAsia="en-US"/>
        </w:rPr>
      </w:pPr>
      <w:r w:rsidRPr="00D21B54">
        <w:rPr>
          <w:sz w:val="26"/>
          <w:szCs w:val="26"/>
        </w:rPr>
        <w:t>В целях поощрения органов местного самоуправления поселений Нефтеюганского района, достигших высоких показателей качества организации и осуществления бюджетного процесса, будет продолжена практика предоставления бюджетам поселений из бюджета Нефтеюганского района стимулирующих трансфертов.</w:t>
      </w:r>
    </w:p>
    <w:p w14:paraId="2BECBDC9" w14:textId="77777777" w:rsidR="006A32C9" w:rsidRPr="00D21B54" w:rsidRDefault="006A32C9" w:rsidP="006A32C9">
      <w:pPr>
        <w:tabs>
          <w:tab w:val="left" w:pos="709"/>
        </w:tabs>
        <w:autoSpaceDE w:val="0"/>
        <w:autoSpaceDN w:val="0"/>
        <w:adjustRightInd w:val="0"/>
        <w:jc w:val="center"/>
        <w:rPr>
          <w:bCs/>
          <w:sz w:val="26"/>
          <w:szCs w:val="26"/>
        </w:rPr>
      </w:pPr>
    </w:p>
    <w:p w14:paraId="68D9C991" w14:textId="77777777" w:rsidR="00632569" w:rsidRPr="00D21B54" w:rsidRDefault="00632569" w:rsidP="00632569">
      <w:pPr>
        <w:tabs>
          <w:tab w:val="left" w:pos="709"/>
        </w:tabs>
        <w:autoSpaceDE w:val="0"/>
        <w:autoSpaceDN w:val="0"/>
        <w:adjustRightInd w:val="0"/>
        <w:jc w:val="center"/>
        <w:rPr>
          <w:bCs/>
          <w:sz w:val="26"/>
          <w:szCs w:val="26"/>
        </w:rPr>
      </w:pPr>
      <w:r w:rsidRPr="00D21B54">
        <w:rPr>
          <w:bCs/>
          <w:sz w:val="26"/>
          <w:szCs w:val="26"/>
        </w:rPr>
        <w:t>Основные направления долговой политики Нефтеюганского района</w:t>
      </w:r>
    </w:p>
    <w:p w14:paraId="0616BB29" w14:textId="77777777" w:rsidR="00632569" w:rsidRPr="00D21B54" w:rsidRDefault="00632569" w:rsidP="00632569">
      <w:pPr>
        <w:autoSpaceDE w:val="0"/>
        <w:autoSpaceDN w:val="0"/>
        <w:adjustRightInd w:val="0"/>
        <w:jc w:val="center"/>
        <w:rPr>
          <w:bCs/>
          <w:sz w:val="26"/>
          <w:szCs w:val="26"/>
        </w:rPr>
      </w:pPr>
      <w:r w:rsidRPr="00D21B54">
        <w:rPr>
          <w:bCs/>
          <w:sz w:val="26"/>
          <w:szCs w:val="26"/>
        </w:rPr>
        <w:t>на 2025 год и плановый период 2026 и 2027 годов</w:t>
      </w:r>
    </w:p>
    <w:p w14:paraId="3116D48F" w14:textId="77777777" w:rsidR="00632569" w:rsidRPr="00D21B54" w:rsidRDefault="00632569" w:rsidP="00632569">
      <w:pPr>
        <w:ind w:firstLine="709"/>
        <w:jc w:val="both"/>
        <w:rPr>
          <w:bCs/>
          <w:strike/>
          <w:sz w:val="26"/>
          <w:szCs w:val="26"/>
        </w:rPr>
      </w:pPr>
    </w:p>
    <w:p w14:paraId="53E5426C" w14:textId="77777777" w:rsidR="00632569" w:rsidRPr="00D21B54" w:rsidRDefault="00632569" w:rsidP="00632569">
      <w:pPr>
        <w:autoSpaceDE w:val="0"/>
        <w:autoSpaceDN w:val="0"/>
        <w:adjustRightInd w:val="0"/>
        <w:ind w:firstLine="709"/>
        <w:jc w:val="both"/>
        <w:rPr>
          <w:sz w:val="26"/>
          <w:szCs w:val="26"/>
        </w:rPr>
      </w:pPr>
      <w:r w:rsidRPr="00D21B54">
        <w:rPr>
          <w:sz w:val="26"/>
          <w:szCs w:val="26"/>
        </w:rPr>
        <w:t>Долговая политика Нефтеюганского района определяет основные направления деятельности Нефтеюганского района по управлению муниципальным долгом Нефтеюганского района в целях реализации ответственной долговой политики и повышения ее эффективности. Основные направления долговой политики Нефтеюганского района сформированы с учетом положений пункта 13 статьи 107.1 Бюджетного кодекса Российской Федерации.</w:t>
      </w:r>
    </w:p>
    <w:p w14:paraId="1D320639" w14:textId="77777777" w:rsidR="00632569" w:rsidRPr="00D21B54" w:rsidRDefault="00632569" w:rsidP="00632569">
      <w:pPr>
        <w:autoSpaceDE w:val="0"/>
        <w:autoSpaceDN w:val="0"/>
        <w:adjustRightInd w:val="0"/>
        <w:ind w:firstLine="709"/>
        <w:jc w:val="both"/>
        <w:rPr>
          <w:sz w:val="26"/>
          <w:szCs w:val="26"/>
        </w:rPr>
      </w:pPr>
    </w:p>
    <w:p w14:paraId="78D8A65E" w14:textId="04203DBA" w:rsidR="00221BF7" w:rsidRDefault="00632569" w:rsidP="00375C88">
      <w:pPr>
        <w:autoSpaceDE w:val="0"/>
        <w:autoSpaceDN w:val="0"/>
        <w:adjustRightInd w:val="0"/>
        <w:ind w:firstLine="709"/>
        <w:jc w:val="both"/>
        <w:rPr>
          <w:sz w:val="26"/>
          <w:szCs w:val="26"/>
        </w:rPr>
      </w:pPr>
      <w:r w:rsidRPr="00D21B54">
        <w:rPr>
          <w:sz w:val="26"/>
          <w:szCs w:val="26"/>
        </w:rPr>
        <w:t xml:space="preserve">Долговая политика Нефтеюганского района в 2025-2027 годах, как и в предыдущем периоде, будет нацелена на поддержание долговой нагрузки на бюджет Нефтеюганского района на уровне, относящем Нефтеюганский к группе заемщиков </w:t>
      </w:r>
      <w:r w:rsidRPr="00D21B54">
        <w:rPr>
          <w:rFonts w:eastAsiaTheme="minorHAnsi"/>
          <w:sz w:val="26"/>
          <w:szCs w:val="26"/>
          <w:lang w:eastAsia="en-US"/>
        </w:rPr>
        <w:t>с высоким уровнем долговой устойчивости.</w:t>
      </w:r>
      <w:r w:rsidRPr="00923634">
        <w:rPr>
          <w:rFonts w:eastAsiaTheme="minorHAnsi"/>
          <w:sz w:val="26"/>
          <w:szCs w:val="26"/>
          <w:lang w:eastAsia="en-US"/>
        </w:rPr>
        <w:t xml:space="preserve"> </w:t>
      </w:r>
      <w:bookmarkStart w:id="0" w:name="_GoBack"/>
      <w:bookmarkEnd w:id="0"/>
    </w:p>
    <w:sectPr w:rsidR="00221BF7" w:rsidSect="003B329B">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FA5E7" w14:textId="77777777" w:rsidR="00677845" w:rsidRDefault="00677845" w:rsidP="00677845">
      <w:r>
        <w:separator/>
      </w:r>
    </w:p>
  </w:endnote>
  <w:endnote w:type="continuationSeparator" w:id="0">
    <w:p w14:paraId="3824CA6A" w14:textId="77777777" w:rsidR="00677845" w:rsidRDefault="00677845" w:rsidP="0067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56BDD" w14:textId="77777777" w:rsidR="00677845" w:rsidRDefault="00677845" w:rsidP="00677845">
      <w:r>
        <w:separator/>
      </w:r>
    </w:p>
  </w:footnote>
  <w:footnote w:type="continuationSeparator" w:id="0">
    <w:p w14:paraId="5E4C6DA3" w14:textId="77777777" w:rsidR="00677845" w:rsidRDefault="00677845" w:rsidP="006778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205146"/>
      <w:docPartObj>
        <w:docPartGallery w:val="Page Numbers (Top of Page)"/>
        <w:docPartUnique/>
      </w:docPartObj>
    </w:sdtPr>
    <w:sdtEndPr/>
    <w:sdtContent>
      <w:p w14:paraId="3156DC6C" w14:textId="3D3A734A" w:rsidR="00677845" w:rsidRDefault="00677845">
        <w:pPr>
          <w:pStyle w:val="a4"/>
          <w:jc w:val="center"/>
        </w:pPr>
        <w:r>
          <w:fldChar w:fldCharType="begin"/>
        </w:r>
        <w:r>
          <w:instrText>PAGE   \* MERGEFORMAT</w:instrText>
        </w:r>
        <w:r>
          <w:fldChar w:fldCharType="separate"/>
        </w:r>
        <w:r w:rsidR="00375C88">
          <w:rPr>
            <w:noProof/>
          </w:rPr>
          <w:t>4</w:t>
        </w:r>
        <w:r>
          <w:fldChar w:fldCharType="end"/>
        </w:r>
      </w:p>
    </w:sdtContent>
  </w:sdt>
  <w:p w14:paraId="5E7327FB" w14:textId="77777777" w:rsidR="00677845" w:rsidRDefault="0067784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54AD"/>
    <w:multiLevelType w:val="hybridMultilevel"/>
    <w:tmpl w:val="972614F8"/>
    <w:lvl w:ilvl="0" w:tplc="C3541B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4EE2D19"/>
    <w:multiLevelType w:val="multilevel"/>
    <w:tmpl w:val="2FE26A8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2014"/>
        </w:tabs>
        <w:ind w:left="2014" w:hanging="1305"/>
      </w:pPr>
      <w:rPr>
        <w:rFonts w:hint="default"/>
      </w:rPr>
    </w:lvl>
    <w:lvl w:ilvl="2">
      <w:start w:val="1"/>
      <w:numFmt w:val="decimal"/>
      <w:isLgl/>
      <w:lvlText w:val="%1.%2.%3."/>
      <w:lvlJc w:val="left"/>
      <w:pPr>
        <w:tabs>
          <w:tab w:val="num" w:pos="2014"/>
        </w:tabs>
        <w:ind w:left="2014" w:hanging="1305"/>
      </w:pPr>
      <w:rPr>
        <w:rFonts w:hint="default"/>
      </w:rPr>
    </w:lvl>
    <w:lvl w:ilvl="3">
      <w:start w:val="1"/>
      <w:numFmt w:val="decimal"/>
      <w:isLgl/>
      <w:lvlText w:val="%1.%2.%3.%4."/>
      <w:lvlJc w:val="left"/>
      <w:pPr>
        <w:tabs>
          <w:tab w:val="num" w:pos="2014"/>
        </w:tabs>
        <w:ind w:left="2014" w:hanging="1305"/>
      </w:pPr>
      <w:rPr>
        <w:rFonts w:hint="default"/>
      </w:rPr>
    </w:lvl>
    <w:lvl w:ilvl="4">
      <w:start w:val="1"/>
      <w:numFmt w:val="decimal"/>
      <w:isLgl/>
      <w:lvlText w:val="%1.%2.%3.%4.%5."/>
      <w:lvlJc w:val="left"/>
      <w:pPr>
        <w:tabs>
          <w:tab w:val="num" w:pos="2014"/>
        </w:tabs>
        <w:ind w:left="2014" w:hanging="1305"/>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 w15:restartNumberingAfterBreak="0">
    <w:nsid w:val="65C576EC"/>
    <w:multiLevelType w:val="hybridMultilevel"/>
    <w:tmpl w:val="73C23680"/>
    <w:lvl w:ilvl="0" w:tplc="D676F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74"/>
    <w:rsid w:val="00033CCB"/>
    <w:rsid w:val="00056F69"/>
    <w:rsid w:val="00061C53"/>
    <w:rsid w:val="00063DEF"/>
    <w:rsid w:val="000906C5"/>
    <w:rsid w:val="000C0E17"/>
    <w:rsid w:val="00154953"/>
    <w:rsid w:val="001968DC"/>
    <w:rsid w:val="001B1F74"/>
    <w:rsid w:val="00217E14"/>
    <w:rsid w:val="00221BF7"/>
    <w:rsid w:val="00221CA4"/>
    <w:rsid w:val="002358AA"/>
    <w:rsid w:val="00254CF1"/>
    <w:rsid w:val="002745A0"/>
    <w:rsid w:val="002747B6"/>
    <w:rsid w:val="002F3C37"/>
    <w:rsid w:val="00331713"/>
    <w:rsid w:val="00331D15"/>
    <w:rsid w:val="003342D6"/>
    <w:rsid w:val="00343A17"/>
    <w:rsid w:val="003533D8"/>
    <w:rsid w:val="00375C88"/>
    <w:rsid w:val="003B329B"/>
    <w:rsid w:val="003B68A3"/>
    <w:rsid w:val="00433ED7"/>
    <w:rsid w:val="00435429"/>
    <w:rsid w:val="00486CA9"/>
    <w:rsid w:val="00491772"/>
    <w:rsid w:val="00553489"/>
    <w:rsid w:val="005B4290"/>
    <w:rsid w:val="005E3B91"/>
    <w:rsid w:val="005F46C6"/>
    <w:rsid w:val="00632569"/>
    <w:rsid w:val="00677845"/>
    <w:rsid w:val="00683A3E"/>
    <w:rsid w:val="006A32C9"/>
    <w:rsid w:val="006A7C95"/>
    <w:rsid w:val="006F261E"/>
    <w:rsid w:val="007223FC"/>
    <w:rsid w:val="00764BA2"/>
    <w:rsid w:val="007733E9"/>
    <w:rsid w:val="007B5BD4"/>
    <w:rsid w:val="008249F9"/>
    <w:rsid w:val="008378C6"/>
    <w:rsid w:val="008A14CC"/>
    <w:rsid w:val="008C5BF5"/>
    <w:rsid w:val="009066D9"/>
    <w:rsid w:val="009458A4"/>
    <w:rsid w:val="009931BA"/>
    <w:rsid w:val="009A4D41"/>
    <w:rsid w:val="009F13C1"/>
    <w:rsid w:val="00A03DB6"/>
    <w:rsid w:val="00A661C0"/>
    <w:rsid w:val="00A902D9"/>
    <w:rsid w:val="00AA7811"/>
    <w:rsid w:val="00AB0909"/>
    <w:rsid w:val="00AD3517"/>
    <w:rsid w:val="00AE6764"/>
    <w:rsid w:val="00B12BD4"/>
    <w:rsid w:val="00B874F0"/>
    <w:rsid w:val="00BA1DF5"/>
    <w:rsid w:val="00BD369A"/>
    <w:rsid w:val="00C108C4"/>
    <w:rsid w:val="00C26E4E"/>
    <w:rsid w:val="00C36BF4"/>
    <w:rsid w:val="00C46AC1"/>
    <w:rsid w:val="00CC3668"/>
    <w:rsid w:val="00CC3936"/>
    <w:rsid w:val="00D17FC2"/>
    <w:rsid w:val="00D21B54"/>
    <w:rsid w:val="00D7326D"/>
    <w:rsid w:val="00E240B6"/>
    <w:rsid w:val="00E7514A"/>
    <w:rsid w:val="00EA0F1B"/>
    <w:rsid w:val="00EA61FE"/>
    <w:rsid w:val="00EB1DB8"/>
    <w:rsid w:val="00F01D37"/>
    <w:rsid w:val="00F16909"/>
    <w:rsid w:val="00FA0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1D18"/>
  <w15:chartTrackingRefBased/>
  <w15:docId w15:val="{483EFAFF-35CE-4002-8B76-530A27E1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F7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1F7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B1F74"/>
    <w:rPr>
      <w:rFonts w:ascii="Arial" w:eastAsia="Times New Roman" w:hAnsi="Arial" w:cs="Arial"/>
      <w:sz w:val="20"/>
      <w:szCs w:val="20"/>
      <w:lang w:eastAsia="ru-RU"/>
    </w:rPr>
  </w:style>
  <w:style w:type="paragraph" w:styleId="a3">
    <w:name w:val="List Paragraph"/>
    <w:basedOn w:val="a"/>
    <w:uiPriority w:val="34"/>
    <w:qFormat/>
    <w:rsid w:val="001B1F74"/>
    <w:pPr>
      <w:ind w:left="720"/>
      <w:contextualSpacing/>
    </w:pPr>
  </w:style>
  <w:style w:type="paragraph" w:styleId="a4">
    <w:name w:val="header"/>
    <w:basedOn w:val="a"/>
    <w:link w:val="a5"/>
    <w:uiPriority w:val="99"/>
    <w:unhideWhenUsed/>
    <w:rsid w:val="00677845"/>
    <w:pPr>
      <w:tabs>
        <w:tab w:val="center" w:pos="4677"/>
        <w:tab w:val="right" w:pos="9355"/>
      </w:tabs>
    </w:pPr>
  </w:style>
  <w:style w:type="character" w:customStyle="1" w:styleId="a5">
    <w:name w:val="Верхний колонтитул Знак"/>
    <w:basedOn w:val="a0"/>
    <w:link w:val="a4"/>
    <w:uiPriority w:val="99"/>
    <w:rsid w:val="00677845"/>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677845"/>
    <w:pPr>
      <w:tabs>
        <w:tab w:val="center" w:pos="4677"/>
        <w:tab w:val="right" w:pos="9355"/>
      </w:tabs>
    </w:pPr>
  </w:style>
  <w:style w:type="character" w:customStyle="1" w:styleId="a7">
    <w:name w:val="Нижний колонтитул Знак"/>
    <w:basedOn w:val="a0"/>
    <w:link w:val="a6"/>
    <w:uiPriority w:val="99"/>
    <w:rsid w:val="0067784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0414AC90E7807FA305CBB9B0BA2B73C28811B27EA40DE2F01551B6062C1gD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4</Pages>
  <Words>1754</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Курова Надежда Валерьевна</dc:creator>
  <cp:keywords/>
  <dc:description/>
  <cp:lastModifiedBy>Евсеева Елена Александровна</cp:lastModifiedBy>
  <cp:revision>84</cp:revision>
  <dcterms:created xsi:type="dcterms:W3CDTF">2024-10-14T10:17:00Z</dcterms:created>
  <dcterms:modified xsi:type="dcterms:W3CDTF">2024-11-14T12:22:00Z</dcterms:modified>
</cp:coreProperties>
</file>